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2A" w:rsidRPr="0007572A" w:rsidRDefault="0007572A" w:rsidP="0007572A">
      <w:pPr>
        <w:tabs>
          <w:tab w:val="left" w:pos="4140"/>
        </w:tabs>
        <w:spacing w:after="0" w:line="240" w:lineRule="auto"/>
        <w:ind w:left="2880" w:right="-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Toc144628903"/>
      <w:bookmarkStart w:id="1" w:name="_Toc204682765"/>
      <w:bookmarkStart w:id="2" w:name="_GoBack"/>
      <w:bookmarkEnd w:id="2"/>
    </w:p>
    <w:p w:rsidR="0007572A" w:rsidRPr="0007572A" w:rsidRDefault="0007572A" w:rsidP="0007572A">
      <w:pPr>
        <w:spacing w:after="0" w:line="240" w:lineRule="auto"/>
        <w:ind w:left="-17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143625" cy="9601200"/>
                <wp:effectExtent l="22860" t="22860" r="24765" b="247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9601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pt;margin-top:-18pt;width:483.75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" filled="f" strokeweight="3pt">
                <v:stroke linestyle="thinThin"/>
              </v:rect>
            </w:pict>
          </mc:Fallback>
        </mc:AlternateContent>
      </w:r>
      <w:r w:rsidRPr="0007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7572A" w:rsidRPr="0007572A" w:rsidRDefault="0007572A" w:rsidP="0007572A">
      <w:pPr>
        <w:spacing w:after="0" w:line="240" w:lineRule="auto"/>
        <w:ind w:left="-17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КАРКАТЕЕВЫ</w:t>
      </w:r>
    </w:p>
    <w:p w:rsidR="0007572A" w:rsidRPr="0007572A" w:rsidRDefault="0007572A" w:rsidP="0007572A">
      <w:pPr>
        <w:spacing w:after="0" w:line="240" w:lineRule="auto"/>
        <w:ind w:left="-170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НЕФТЕЮГАНСКОГО РАЙОНА ХМАО-ЮГРЫ</w:t>
      </w: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ПРОЕКТ ПЛАНИРОВКИ И МЕЖЕВАНИЯ</w:t>
      </w: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ТЕРРИТОРИИ СЕЛЬСКОГО ПОСЕЛЕНИЯ КАРКАТЕЕВЫ</w:t>
      </w: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 xml:space="preserve">     </w:t>
      </w: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360" w:lineRule="auto"/>
        <w:ind w:right="282"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360" w:lineRule="auto"/>
        <w:ind w:right="282" w:firstLine="72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положение о размещении объектов</w:t>
      </w:r>
    </w:p>
    <w:p w:rsidR="0007572A" w:rsidRPr="0007572A" w:rsidRDefault="0007572A" w:rsidP="0007572A">
      <w:pPr>
        <w:spacing w:after="0" w:line="360" w:lineRule="auto"/>
        <w:ind w:right="282" w:firstLine="720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7572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капительного строительства</w:t>
      </w: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b/>
          <w:caps/>
          <w:sz w:val="28"/>
          <w:szCs w:val="28"/>
          <w:lang w:eastAsia="ru-RU"/>
        </w:rPr>
      </w:pPr>
    </w:p>
    <w:p w:rsidR="0007572A" w:rsidRPr="0007572A" w:rsidRDefault="0007572A" w:rsidP="0007572A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07572A" w:rsidRPr="0007572A" w:rsidRDefault="0007572A" w:rsidP="0007572A">
      <w:pPr>
        <w:spacing w:after="0" w:line="240" w:lineRule="auto"/>
        <w:ind w:firstLine="720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571A68" w:rsidRDefault="00571A68" w:rsidP="00571A68">
      <w:pPr>
        <w:pStyle w:val="S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ПЕРЕЧЕНЬ ОСНОВНЫХ МЕРОПРИЯТИЙ ПО ТЕРРИТОРИАЛЬНОМУ ПЛАНИРОВАНИЮ</w:t>
      </w:r>
      <w:bookmarkEnd w:id="0"/>
      <w:r>
        <w:rPr>
          <w:b/>
          <w:sz w:val="28"/>
          <w:szCs w:val="28"/>
        </w:rPr>
        <w:t xml:space="preserve"> </w:t>
      </w:r>
    </w:p>
    <w:p w:rsidR="00571A68" w:rsidRDefault="00571A68" w:rsidP="00571A68">
      <w:pPr>
        <w:pStyle w:val="S0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последовательность их выполнения</w:t>
      </w:r>
      <w:r>
        <w:rPr>
          <w:rStyle w:val="a5"/>
          <w:b/>
          <w:sz w:val="28"/>
          <w:szCs w:val="28"/>
        </w:rPr>
        <w:footnoteReference w:id="1"/>
      </w:r>
      <w:bookmarkEnd w:id="1"/>
    </w:p>
    <w:p w:rsidR="00571A68" w:rsidRDefault="00571A68" w:rsidP="00571A68">
      <w:pPr>
        <w:pStyle w:val="S0"/>
        <w:spacing w:line="240" w:lineRule="auto"/>
        <w:jc w:val="left"/>
      </w:pPr>
      <w:r>
        <w:t>2.1. Мероприятия по развитию функционально-планировочной структуры</w:t>
      </w:r>
    </w:p>
    <w:p w:rsidR="00571A68" w:rsidRDefault="00571A68" w:rsidP="00571A68">
      <w:pPr>
        <w:pStyle w:val="S0"/>
        <w:spacing w:line="240" w:lineRule="auto"/>
      </w:pPr>
      <w:r>
        <w:t xml:space="preserve">Схема зонирования разработана  на основе генерального плана развития п. </w:t>
      </w:r>
      <w:proofErr w:type="spellStart"/>
      <w:r>
        <w:t>Каркатеевы</w:t>
      </w:r>
      <w:proofErr w:type="spellEnd"/>
      <w:r>
        <w:t xml:space="preserve">. </w:t>
      </w:r>
    </w:p>
    <w:p w:rsidR="00571A68" w:rsidRDefault="00571A68" w:rsidP="00571A68">
      <w:pPr>
        <w:pStyle w:val="S0"/>
        <w:spacing w:line="240" w:lineRule="auto"/>
      </w:pPr>
      <w:r>
        <w:t>Градостроительная деятельность, противоречащая установленному схемой зонирования функциональному, строительному, ландшафтному назначению территории, запрещается.</w:t>
      </w:r>
    </w:p>
    <w:p w:rsidR="00571A68" w:rsidRDefault="00571A68" w:rsidP="00571A68">
      <w:pPr>
        <w:pStyle w:val="S0"/>
        <w:spacing w:line="240" w:lineRule="auto"/>
      </w:pPr>
      <w:r>
        <w:t>На схеме зонирования отображены границы территориальных зон и их кодовые обозначения.</w:t>
      </w:r>
    </w:p>
    <w:p w:rsidR="00571A68" w:rsidRDefault="00571A68" w:rsidP="00571A68">
      <w:pPr>
        <w:pStyle w:val="S0"/>
        <w:spacing w:line="240" w:lineRule="auto"/>
      </w:pPr>
      <w:r>
        <w:t>Границы территориальных зон  установлены с учетом:</w:t>
      </w:r>
    </w:p>
    <w:p w:rsidR="00571A68" w:rsidRDefault="00571A68" w:rsidP="00571A68">
      <w:pPr>
        <w:pStyle w:val="S0"/>
        <w:spacing w:line="240" w:lineRule="auto"/>
      </w:pPr>
      <w:r>
        <w:t>- сложившейся планировочной организации территории и существующего землепользования;</w:t>
      </w:r>
    </w:p>
    <w:p w:rsidR="00571A68" w:rsidRDefault="00571A68" w:rsidP="00571A68">
      <w:pPr>
        <w:pStyle w:val="S0"/>
        <w:spacing w:line="240" w:lineRule="auto"/>
      </w:pPr>
      <w:r>
        <w:t>-  планируемых изменений сложившегося землепользования;</w:t>
      </w:r>
    </w:p>
    <w:p w:rsidR="00571A68" w:rsidRDefault="00571A68" w:rsidP="00571A68">
      <w:pPr>
        <w:pStyle w:val="S0"/>
        <w:spacing w:line="240" w:lineRule="auto"/>
      </w:pPr>
      <w:r>
        <w:t xml:space="preserve">- требований о </w:t>
      </w:r>
      <w:proofErr w:type="gramStart"/>
      <w:r>
        <w:t>взаимном</w:t>
      </w:r>
      <w:proofErr w:type="gramEnd"/>
      <w:r>
        <w:t xml:space="preserve"> </w:t>
      </w:r>
      <w:proofErr w:type="spellStart"/>
      <w:r>
        <w:t>непричинении</w:t>
      </w:r>
      <w:proofErr w:type="spellEnd"/>
      <w:r>
        <w:t xml:space="preserve"> несоразмерного вреда друг другу рядом расположенными объектами недвижимости. </w:t>
      </w:r>
    </w:p>
    <w:p w:rsidR="00571A68" w:rsidRDefault="00571A68" w:rsidP="00571A68">
      <w:pPr>
        <w:pStyle w:val="S0"/>
        <w:spacing w:line="240" w:lineRule="auto"/>
      </w:pPr>
      <w:r>
        <w:t xml:space="preserve">Границы территориальных зон на схеме зонирования установлены </w:t>
      </w:r>
      <w:proofErr w:type="gramStart"/>
      <w:r>
        <w:t>по</w:t>
      </w:r>
      <w:proofErr w:type="gramEnd"/>
      <w:r>
        <w:t>:</w:t>
      </w:r>
    </w:p>
    <w:p w:rsidR="00571A68" w:rsidRDefault="00571A68" w:rsidP="00571A68">
      <w:pPr>
        <w:pStyle w:val="S0"/>
        <w:spacing w:line="240" w:lineRule="auto"/>
      </w:pPr>
      <w:r>
        <w:t>- красным линиям;</w:t>
      </w:r>
    </w:p>
    <w:p w:rsidR="00571A68" w:rsidRDefault="00571A68" w:rsidP="00571A68">
      <w:pPr>
        <w:pStyle w:val="S0"/>
        <w:spacing w:line="240" w:lineRule="auto"/>
      </w:pPr>
      <w:r>
        <w:t>- границам земельных участков;</w:t>
      </w:r>
    </w:p>
    <w:p w:rsidR="00571A68" w:rsidRDefault="00571A68" w:rsidP="00571A68">
      <w:pPr>
        <w:pStyle w:val="S0"/>
        <w:spacing w:line="240" w:lineRule="auto"/>
      </w:pPr>
      <w:r>
        <w:t>- естественным границам природных объектов;</w:t>
      </w:r>
    </w:p>
    <w:p w:rsidR="00571A68" w:rsidRDefault="00571A68" w:rsidP="00571A68">
      <w:pPr>
        <w:pStyle w:val="S0"/>
        <w:spacing w:line="240" w:lineRule="auto"/>
      </w:pPr>
      <w:r>
        <w:t>- поселковой черте;</w:t>
      </w:r>
    </w:p>
    <w:p w:rsidR="00571A68" w:rsidRDefault="00571A68" w:rsidP="00571A68">
      <w:pPr>
        <w:pStyle w:val="S0"/>
        <w:spacing w:line="240" w:lineRule="auto"/>
      </w:pPr>
      <w:r>
        <w:t>- иным обоснованным границам.</w:t>
      </w:r>
    </w:p>
    <w:p w:rsidR="00571A68" w:rsidRDefault="00571A68" w:rsidP="00571A68">
      <w:pPr>
        <w:pStyle w:val="S0"/>
        <w:spacing w:line="240" w:lineRule="auto"/>
      </w:pPr>
      <w:r>
        <w:t xml:space="preserve">На схеме зонирования отображены также границы зон градостроительных  ограничений по экологическим и санитарно-эпидемиологическим требованиям в соответствии со схемой градостроительных ограничений, разработанной на основе комплексной оценки территории поселка и её планируемого функционального назначения. </w:t>
      </w:r>
    </w:p>
    <w:p w:rsidR="00571A68" w:rsidRDefault="00571A68" w:rsidP="00571A68">
      <w:pPr>
        <w:pStyle w:val="S0"/>
        <w:spacing w:line="240" w:lineRule="auto"/>
        <w:rPr>
          <w:snapToGrid w:val="0"/>
        </w:rPr>
      </w:pPr>
      <w:r>
        <w:rPr>
          <w:snapToGrid w:val="0"/>
        </w:rPr>
        <w:t>Границы территориальных зон, отображаемые на схеме зонирования, их наименования, градостроительные регламенты к ним установлены  с учетом:</w:t>
      </w:r>
    </w:p>
    <w:p w:rsidR="00571A68" w:rsidRDefault="00571A68" w:rsidP="00571A68">
      <w:pPr>
        <w:pStyle w:val="S0"/>
        <w:spacing w:line="240" w:lineRule="auto"/>
        <w:rPr>
          <w:snapToGrid w:val="0"/>
        </w:rPr>
      </w:pPr>
      <w:r>
        <w:rPr>
          <w:snapToGrid w:val="0"/>
        </w:rPr>
        <w:t xml:space="preserve">- особенностей расположения и условий развития п. </w:t>
      </w:r>
      <w:proofErr w:type="spellStart"/>
      <w:r>
        <w:rPr>
          <w:snapToGrid w:val="0"/>
        </w:rPr>
        <w:t>Каркатеевы</w:t>
      </w:r>
      <w:proofErr w:type="spellEnd"/>
      <w:r>
        <w:rPr>
          <w:snapToGrid w:val="0"/>
        </w:rPr>
        <w:t xml:space="preserve">, частей его территории; </w:t>
      </w:r>
    </w:p>
    <w:p w:rsidR="00571A68" w:rsidRDefault="00571A68" w:rsidP="00571A68">
      <w:pPr>
        <w:pStyle w:val="S0"/>
        <w:spacing w:line="240" w:lineRule="auto"/>
        <w:rPr>
          <w:snapToGrid w:val="0"/>
        </w:rPr>
      </w:pPr>
      <w:r>
        <w:rPr>
          <w:snapToGrid w:val="0"/>
        </w:rPr>
        <w:t>- возможности территориального сочетания различных видов существующего и будущего использования земельных участков;</w:t>
      </w:r>
    </w:p>
    <w:p w:rsidR="00571A68" w:rsidRDefault="00571A68" w:rsidP="00571A68">
      <w:pPr>
        <w:pStyle w:val="S0"/>
        <w:spacing w:line="240" w:lineRule="auto"/>
        <w:rPr>
          <w:snapToGrid w:val="0"/>
        </w:rPr>
      </w:pPr>
      <w:r>
        <w:rPr>
          <w:snapToGrid w:val="0"/>
        </w:rPr>
        <w:t>- функциональных зон, определенных генеральным планом развития поселения;</w:t>
      </w:r>
    </w:p>
    <w:p w:rsidR="00571A68" w:rsidRDefault="00571A68" w:rsidP="00571A68">
      <w:pPr>
        <w:pStyle w:val="S0"/>
        <w:spacing w:line="240" w:lineRule="auto"/>
        <w:rPr>
          <w:snapToGrid w:val="0"/>
        </w:rPr>
      </w:pPr>
      <w:r>
        <w:rPr>
          <w:snapToGrid w:val="0"/>
        </w:rPr>
        <w:t xml:space="preserve">На территории поселка установлены следующие виды функциональных  зон: </w:t>
      </w:r>
    </w:p>
    <w:p w:rsidR="00571A68" w:rsidRDefault="00571A68" w:rsidP="00571A68">
      <w:pPr>
        <w:pStyle w:val="S0"/>
        <w:spacing w:line="240" w:lineRule="auto"/>
      </w:pPr>
      <w:r>
        <w:rPr>
          <w:snapToGrid w:val="0"/>
        </w:rPr>
        <w:t xml:space="preserve">- </w:t>
      </w:r>
      <w:r>
        <w:t>жилые зоны;</w:t>
      </w:r>
    </w:p>
    <w:p w:rsidR="00571A68" w:rsidRDefault="00571A68" w:rsidP="00571A68">
      <w:pPr>
        <w:pStyle w:val="S0"/>
        <w:spacing w:line="240" w:lineRule="auto"/>
      </w:pPr>
      <w:r>
        <w:t>- общественно - деловые зоны;</w:t>
      </w:r>
    </w:p>
    <w:p w:rsidR="00571A68" w:rsidRDefault="00571A68" w:rsidP="00571A68">
      <w:pPr>
        <w:pStyle w:val="S0"/>
        <w:spacing w:line="240" w:lineRule="auto"/>
      </w:pPr>
      <w:r>
        <w:t>- производственные зоны;</w:t>
      </w:r>
    </w:p>
    <w:p w:rsidR="00571A68" w:rsidRDefault="00571A68" w:rsidP="00571A68">
      <w:pPr>
        <w:pStyle w:val="S0"/>
        <w:spacing w:line="240" w:lineRule="auto"/>
      </w:pPr>
      <w:r>
        <w:t>- зоны инженерной инфраструктуры;</w:t>
      </w:r>
    </w:p>
    <w:p w:rsidR="00571A68" w:rsidRDefault="00571A68" w:rsidP="00571A68">
      <w:pPr>
        <w:pStyle w:val="S0"/>
        <w:spacing w:line="240" w:lineRule="auto"/>
      </w:pPr>
      <w:r>
        <w:t>- зоны транспортной инфраструктуры;</w:t>
      </w:r>
    </w:p>
    <w:p w:rsidR="00571A68" w:rsidRDefault="00571A68" w:rsidP="00571A68">
      <w:pPr>
        <w:pStyle w:val="S0"/>
        <w:spacing w:line="240" w:lineRule="auto"/>
      </w:pPr>
      <w:r>
        <w:t>- рекреационные зоны;</w:t>
      </w:r>
    </w:p>
    <w:p w:rsidR="00571A68" w:rsidRDefault="00571A68" w:rsidP="00571A68">
      <w:pPr>
        <w:pStyle w:val="S0"/>
        <w:spacing w:line="240" w:lineRule="auto"/>
      </w:pPr>
      <w:r>
        <w:t>- зоны сельскохозяйственного использования;</w:t>
      </w:r>
    </w:p>
    <w:p w:rsidR="00571A68" w:rsidRDefault="00571A68" w:rsidP="00571A68">
      <w:pPr>
        <w:pStyle w:val="S0"/>
        <w:spacing w:line="240" w:lineRule="auto"/>
      </w:pPr>
      <w:r>
        <w:t>- зоны специального назначения;</w:t>
      </w:r>
    </w:p>
    <w:p w:rsidR="00571A68" w:rsidRDefault="00571A68" w:rsidP="00571A68">
      <w:pPr>
        <w:pStyle w:val="S0"/>
        <w:spacing w:line="240" w:lineRule="auto"/>
      </w:pPr>
      <w:r>
        <w:t>- зоны акваторий;</w:t>
      </w:r>
    </w:p>
    <w:p w:rsidR="00571A68" w:rsidRDefault="00571A68" w:rsidP="00571A68">
      <w:pPr>
        <w:pStyle w:val="S0"/>
        <w:spacing w:line="240" w:lineRule="auto"/>
      </w:pPr>
      <w:r>
        <w:t>- зоны резервного фонда муниципальных земель.</w:t>
      </w:r>
    </w:p>
    <w:p w:rsidR="00571A68" w:rsidRDefault="00571A68" w:rsidP="00571A68">
      <w:pPr>
        <w:pStyle w:val="S0"/>
        <w:spacing w:line="240" w:lineRule="auto"/>
      </w:pPr>
      <w:r>
        <w:lastRenderedPageBreak/>
        <w:t xml:space="preserve"> Жилые зоны  (код зоны 1 ЖЗ) предназначены для застройки многоквартирными жилыми домами малой и средней этажности, индивидуальными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культурно - бытового обслуживания населения, культовых зданий, стоянок автомобильного транспорта. </w:t>
      </w:r>
    </w:p>
    <w:p w:rsidR="00571A68" w:rsidRDefault="00571A68" w:rsidP="00571A68">
      <w:pPr>
        <w:pStyle w:val="S0"/>
        <w:spacing w:line="240" w:lineRule="auto"/>
      </w:pPr>
      <w:r>
        <w:t xml:space="preserve">  Общественно - деловые зоны (код зоны 2 ОДЗ) предназначены для размещения объектов здравоохранения, культуры, торговли, общественного питания и бытового обслуживания. Строений, сооружений, стоянок автомобильного транспорта, а также образовательных учреждений, административных, культовых  и иных зданий.</w:t>
      </w:r>
    </w:p>
    <w:p w:rsidR="00571A68" w:rsidRDefault="00571A68" w:rsidP="00571A68">
      <w:pPr>
        <w:pStyle w:val="S0"/>
        <w:spacing w:line="240" w:lineRule="auto"/>
      </w:pPr>
      <w:r>
        <w:t>В перечень объектов недвижимости, разрешенных к размещению в общественно - деловых зонах, могут включаться жилые дома, гостиницы, служебные гаражи.</w:t>
      </w:r>
    </w:p>
    <w:p w:rsidR="00571A68" w:rsidRDefault="00571A68" w:rsidP="00571A68">
      <w:pPr>
        <w:pStyle w:val="S0"/>
        <w:spacing w:line="240" w:lineRule="auto"/>
      </w:pPr>
      <w:r>
        <w:t xml:space="preserve"> </w:t>
      </w:r>
      <w:proofErr w:type="gramStart"/>
      <w:r>
        <w:t>Производственные зоны (код зоны 3 ПЗ) предназначены для размещения промышленных, коммунальных и складских объектов, обеспечивающих их функционирование объектов инженерной и транспортной инфраструктур, а также для установления санитарно - защитных зон таких объектов.</w:t>
      </w:r>
      <w:proofErr w:type="gramEnd"/>
    </w:p>
    <w:p w:rsidR="00571A68" w:rsidRDefault="00571A68" w:rsidP="00571A68">
      <w:pPr>
        <w:pStyle w:val="S0"/>
        <w:spacing w:line="240" w:lineRule="auto"/>
      </w:pPr>
      <w:r>
        <w:t>В санитарно - защитной зоне промышленных, коммунальных и складских объектов не допускается размещение жилых домов, дошкольных образовательных учреждений, общеобразовательных учреждений, учреждений здравоохранения, учреждений отдыха, физкультурно-оздоровительных и спортивных сооружений, садоводческих, дачных и огороднических кооперативов, а также производство сельскохозяйственной продукции.</w:t>
      </w:r>
    </w:p>
    <w:p w:rsidR="00571A68" w:rsidRDefault="00571A68" w:rsidP="00571A68">
      <w:pPr>
        <w:pStyle w:val="S0"/>
        <w:spacing w:line="240" w:lineRule="auto"/>
      </w:pPr>
      <w:r>
        <w:t xml:space="preserve">  </w:t>
      </w:r>
      <w:proofErr w:type="gramStart"/>
      <w:r>
        <w:t>Зоны инженерной инфраструктуры (код зоны 4 ИЗ) предназначены для размещения и функционирования сооружений и коммуникаций энергообеспечения, водоснабжения и очистки стоков, связи, а также включают территории необходимые для их технического обслуживания и охраны.</w:t>
      </w:r>
      <w:proofErr w:type="gramEnd"/>
    </w:p>
    <w:p w:rsidR="00571A68" w:rsidRDefault="00571A68" w:rsidP="00571A68">
      <w:pPr>
        <w:pStyle w:val="S0"/>
        <w:spacing w:line="240" w:lineRule="auto"/>
      </w:pPr>
      <w:r>
        <w:t xml:space="preserve"> Зоны транспортной инфраструктуры (код зоны 5 ТЗ)  предназначены для размещения и функционирования сооружений и коммуникаций внешнего и индивидуального транспорта, а также включает территории, подлежащие благоустройству с учетом технических и эксплуатационных характеристик таких сооружений и коммуникаций.</w:t>
      </w:r>
    </w:p>
    <w:p w:rsidR="00571A68" w:rsidRDefault="00571A68" w:rsidP="00571A68">
      <w:pPr>
        <w:pStyle w:val="S0"/>
        <w:spacing w:line="240" w:lineRule="auto"/>
      </w:pPr>
      <w:r>
        <w:t xml:space="preserve"> Рекреационные зоны (код зоны 6 РЗ) предназначены для организации мест отдыха населения и включают в себя парки, сады, лесопарки, пляжи, а также включают особо охраняемые природные территории. На территориях рекреационных зон допускается строительство и реконструкция объектов спортивного, оздоровительного и культурно - развлекательного назначения в соответствии с градостроительными нормативами.</w:t>
      </w:r>
    </w:p>
    <w:p w:rsidR="00571A68" w:rsidRDefault="00571A68" w:rsidP="00571A68">
      <w:pPr>
        <w:pStyle w:val="S0"/>
        <w:spacing w:line="240" w:lineRule="auto"/>
      </w:pPr>
      <w:r>
        <w:t xml:space="preserve">  Зоны сельскохозяйственного использования (код зоны 7 СХЗ) предназначены для размещения сельхозугодий и пастбищ. 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развития города и правилами застройки и землепользования.</w:t>
      </w:r>
    </w:p>
    <w:p w:rsidR="00571A68" w:rsidRDefault="00571A68" w:rsidP="00571A68">
      <w:pPr>
        <w:pStyle w:val="S0"/>
        <w:spacing w:line="240" w:lineRule="auto"/>
      </w:pPr>
      <w:r>
        <w:t xml:space="preserve"> Зоны специального назначения (код зоны 8 СНЗ) предназначены для размещения объектов ритуального назначения, а также складирования и захоронения отходов. На территориях указанных зон размещение объектов относящихся к основным видам разрешенного использования для других территориальных зон недопустимо.</w:t>
      </w:r>
    </w:p>
    <w:p w:rsidR="00571A68" w:rsidRDefault="00571A68" w:rsidP="00571A68">
      <w:pPr>
        <w:pStyle w:val="S0"/>
        <w:spacing w:line="240" w:lineRule="auto"/>
      </w:pPr>
      <w:r>
        <w:t xml:space="preserve">  Зоны акваторий (код зоны 10 АЗ) включают в себя земли занятые водными объектами и прибрежными территориями, а также </w:t>
      </w:r>
      <w:proofErr w:type="spellStart"/>
      <w:r>
        <w:t>водоохранные</w:t>
      </w:r>
      <w:proofErr w:type="spellEnd"/>
      <w:r>
        <w:t xml:space="preserve"> территории водозаборов, гидротехнических, водохозяйственных сооружений и иных водных объектов. В зонах акваторий могут быть размещены аквапарки, лодочные станции, яхт - </w:t>
      </w:r>
      <w:r>
        <w:lastRenderedPageBreak/>
        <w:t xml:space="preserve">клубы и другие сооружения спортивно - оздоровительного назначения, для функционирования которых необходимы водные объекты. </w:t>
      </w:r>
    </w:p>
    <w:p w:rsidR="00571A68" w:rsidRDefault="00571A68" w:rsidP="00571A68">
      <w:pPr>
        <w:pStyle w:val="S0"/>
        <w:spacing w:line="240" w:lineRule="auto"/>
      </w:pPr>
      <w:r>
        <w:t xml:space="preserve"> Зоны резервного фонда муниципальных земель (код зоны 11 РЗЗ) предназначены для перспективного освоения в соответствии с генеральным планом развития поселка и другой утвержденной градостроительной документацией, а также для размещения объектов рынка недвижимости в соответствии с градостроительными паспортами и инвестиционно - тендерной документацией. </w:t>
      </w:r>
    </w:p>
    <w:p w:rsidR="00571A68" w:rsidRDefault="00571A68" w:rsidP="00571A68">
      <w:pPr>
        <w:pStyle w:val="S0"/>
        <w:spacing w:line="240" w:lineRule="auto"/>
      </w:pPr>
      <w:r>
        <w:t xml:space="preserve">С целью установления наиболее точных градостроительных регламентов в  каждой зоне схемой зонирования предусмотрены </w:t>
      </w:r>
      <w:proofErr w:type="spellStart"/>
      <w:r>
        <w:t>подзоны</w:t>
      </w:r>
      <w:proofErr w:type="spellEnd"/>
      <w:r>
        <w:t xml:space="preserve">. </w:t>
      </w:r>
    </w:p>
    <w:p w:rsidR="00571A68" w:rsidRDefault="00571A68" w:rsidP="00571A68">
      <w:pPr>
        <w:pStyle w:val="S0"/>
        <w:spacing w:line="240" w:lineRule="auto"/>
        <w:jc w:val="left"/>
      </w:pPr>
      <w:bookmarkStart w:id="3" w:name="_Toc204682767"/>
      <w:bookmarkStart w:id="4" w:name="_Toc144628905"/>
      <w:r>
        <w:t>2.2. Мероприятия по развитию основных функциональных зон для обеспечения размещения объектов капитального строительства</w:t>
      </w:r>
      <w:bookmarkEnd w:id="3"/>
      <w:bookmarkEnd w:id="4"/>
    </w:p>
    <w:p w:rsidR="00571A68" w:rsidRDefault="00571A68" w:rsidP="00571A68">
      <w:pPr>
        <w:pStyle w:val="S0"/>
        <w:spacing w:line="240" w:lineRule="auto"/>
        <w:rPr>
          <w:i/>
        </w:rPr>
      </w:pPr>
      <w:bookmarkStart w:id="5" w:name="_Toc204682768"/>
      <w:bookmarkStart w:id="6" w:name="_Toc144628906"/>
      <w:r>
        <w:rPr>
          <w:i/>
        </w:rPr>
        <w:t>2.2.1. Жилые зоны</w:t>
      </w:r>
      <w:bookmarkEnd w:id="5"/>
      <w:bookmarkEnd w:id="6"/>
    </w:p>
    <w:p w:rsidR="00571A68" w:rsidRDefault="00571A68" w:rsidP="00571A68">
      <w:pPr>
        <w:pStyle w:val="S0"/>
        <w:spacing w:line="240" w:lineRule="auto"/>
      </w:pPr>
      <w:r>
        <w:t>Развитие жилой застройки средней этажности в поселке предполагается за счет последовательного сноса фенольных и реконструкции ветхих жилых домов. Определены кварталы индивидуальной жилой застройки с развитием в восточном направлении.</w:t>
      </w:r>
    </w:p>
    <w:p w:rsidR="00571A68" w:rsidRDefault="00571A68" w:rsidP="00571A68">
      <w:pPr>
        <w:pStyle w:val="S0"/>
        <w:spacing w:line="240" w:lineRule="auto"/>
      </w:pPr>
      <w:r>
        <w:t>Проектом предложено упорядочение существующих массивов садово-огороднических товариществ.</w:t>
      </w:r>
    </w:p>
    <w:p w:rsidR="00571A68" w:rsidRDefault="00571A68" w:rsidP="00571A68">
      <w:pPr>
        <w:pStyle w:val="S0"/>
        <w:spacing w:line="240" w:lineRule="auto"/>
      </w:pPr>
      <w:r>
        <w:t>Оформление набережной протоки Горной, как рекреационной территории с сетью прогулочных дорожек  и возможным размещением в пойме реки спортивных площадок.</w:t>
      </w:r>
    </w:p>
    <w:p w:rsidR="00571A68" w:rsidRDefault="00571A68" w:rsidP="00571A68">
      <w:pPr>
        <w:pStyle w:val="S0"/>
        <w:spacing w:line="240" w:lineRule="auto"/>
        <w:rPr>
          <w:i/>
        </w:rPr>
      </w:pPr>
      <w:bookmarkStart w:id="7" w:name="_Toc204682769"/>
      <w:r>
        <w:rPr>
          <w:i/>
        </w:rPr>
        <w:t>2.2.2. Зоны общественного центра</w:t>
      </w:r>
      <w:bookmarkEnd w:id="7"/>
    </w:p>
    <w:p w:rsidR="00571A68" w:rsidRDefault="00571A68" w:rsidP="00571A68">
      <w:pPr>
        <w:pStyle w:val="S0"/>
        <w:spacing w:line="240" w:lineRule="auto"/>
      </w:pPr>
      <w:r>
        <w:t xml:space="preserve">1. Приведение к нормативным показателям количественных и качественных характеристик объектов соцкультбыта; </w:t>
      </w:r>
    </w:p>
    <w:p w:rsidR="00571A68" w:rsidRDefault="00571A68" w:rsidP="00571A68">
      <w:pPr>
        <w:pStyle w:val="S0"/>
        <w:spacing w:line="240" w:lineRule="auto"/>
      </w:pPr>
      <w:r>
        <w:t>2. Оптимальное пространственное распределение объектов социальной инфраструктуры в структуре жилых массивов;</w:t>
      </w:r>
    </w:p>
    <w:p w:rsidR="00571A68" w:rsidRDefault="00571A68" w:rsidP="00571A68">
      <w:pPr>
        <w:pStyle w:val="S0"/>
        <w:spacing w:line="240" w:lineRule="auto"/>
        <w:rPr>
          <w:i/>
        </w:rPr>
      </w:pPr>
      <w:bookmarkStart w:id="8" w:name="_Toc174719209"/>
      <w:bookmarkStart w:id="9" w:name="_Toc174719269"/>
      <w:bookmarkStart w:id="10" w:name="_Toc174719210"/>
      <w:bookmarkStart w:id="11" w:name="_Toc174719270"/>
      <w:bookmarkStart w:id="12" w:name="_Toc174621047"/>
      <w:bookmarkStart w:id="13" w:name="_Toc174719211"/>
      <w:bookmarkStart w:id="14" w:name="_Toc174719271"/>
      <w:bookmarkStart w:id="15" w:name="_Toc175402798"/>
      <w:bookmarkStart w:id="16" w:name="_Toc204682770"/>
      <w:bookmarkEnd w:id="8"/>
      <w:bookmarkEnd w:id="9"/>
      <w:bookmarkEnd w:id="10"/>
      <w:bookmarkEnd w:id="11"/>
      <w:bookmarkEnd w:id="12"/>
      <w:bookmarkEnd w:id="13"/>
      <w:bookmarkEnd w:id="14"/>
      <w:r>
        <w:rPr>
          <w:i/>
        </w:rPr>
        <w:t>2.2.3.Производственные зоны</w:t>
      </w:r>
      <w:bookmarkEnd w:id="15"/>
      <w:bookmarkEnd w:id="16"/>
    </w:p>
    <w:p w:rsidR="00571A68" w:rsidRDefault="00571A68" w:rsidP="00571A68">
      <w:pPr>
        <w:pStyle w:val="S0"/>
        <w:spacing w:line="240" w:lineRule="auto"/>
      </w:pPr>
      <w:r>
        <w:t xml:space="preserve">Формирование северно-западной производственной территории с целью размещения предприятий обслуживающего профиля. </w:t>
      </w:r>
    </w:p>
    <w:p w:rsidR="00571A68" w:rsidRDefault="00571A68" w:rsidP="00571A68">
      <w:pPr>
        <w:pStyle w:val="S0"/>
        <w:spacing w:line="240" w:lineRule="auto"/>
      </w:pPr>
      <w:bookmarkStart w:id="17" w:name="_Toc204682771"/>
      <w:bookmarkStart w:id="18" w:name="_Toc175402799"/>
      <w:r>
        <w:rPr>
          <w:i/>
        </w:rPr>
        <w:t>2.2.4.Зона инженерной инфраструктуры</w:t>
      </w:r>
      <w:bookmarkEnd w:id="17"/>
      <w:bookmarkEnd w:id="18"/>
    </w:p>
    <w:p w:rsidR="00571A68" w:rsidRDefault="00571A68" w:rsidP="00571A68">
      <w:pPr>
        <w:pStyle w:val="S0"/>
        <w:spacing w:line="240" w:lineRule="auto"/>
      </w:pPr>
      <w:r>
        <w:t xml:space="preserve"> На территории посёлка  предусмотрена реконструкция существующих и строительство новых сетей и объектов: водоснабжения, водоотведения, электроснабжения, теплоснабжения, и связи.</w:t>
      </w:r>
    </w:p>
    <w:p w:rsidR="00571A68" w:rsidRDefault="00571A68" w:rsidP="00571A68">
      <w:pPr>
        <w:pStyle w:val="S0"/>
        <w:spacing w:line="240" w:lineRule="auto"/>
      </w:pPr>
      <w:r>
        <w:t xml:space="preserve"> Выполнено формирование зон под объекты инженерной инфраструктуры:</w:t>
      </w:r>
    </w:p>
    <w:p w:rsidR="00571A68" w:rsidRDefault="00571A68" w:rsidP="00571A68">
      <w:pPr>
        <w:pStyle w:val="S0"/>
        <w:spacing w:line="240" w:lineRule="auto"/>
      </w:pPr>
      <w:r>
        <w:t>подземные водозаборные сооружения;</w:t>
      </w:r>
    </w:p>
    <w:p w:rsidR="00571A68" w:rsidRDefault="00571A68" w:rsidP="00571A68">
      <w:pPr>
        <w:pStyle w:val="S0"/>
        <w:spacing w:line="240" w:lineRule="auto"/>
      </w:pPr>
      <w:r>
        <w:t>водопроводные очистные сооружения;</w:t>
      </w:r>
    </w:p>
    <w:p w:rsidR="00571A68" w:rsidRDefault="00571A68" w:rsidP="00571A68">
      <w:pPr>
        <w:pStyle w:val="S0"/>
        <w:spacing w:line="240" w:lineRule="auto"/>
      </w:pPr>
      <w:r>
        <w:t>канализационные насосные станции;</w:t>
      </w:r>
    </w:p>
    <w:p w:rsidR="00571A68" w:rsidRDefault="00571A68" w:rsidP="00571A68">
      <w:pPr>
        <w:pStyle w:val="S0"/>
        <w:spacing w:line="240" w:lineRule="auto"/>
      </w:pPr>
      <w:r>
        <w:t>трансформаторные подстанции.</w:t>
      </w:r>
    </w:p>
    <w:p w:rsidR="00571A68" w:rsidRDefault="00571A68" w:rsidP="00571A68">
      <w:pPr>
        <w:pStyle w:val="S0"/>
        <w:spacing w:line="240" w:lineRule="auto"/>
        <w:rPr>
          <w:i/>
        </w:rPr>
      </w:pPr>
      <w:bookmarkStart w:id="19" w:name="_Toc204682772"/>
      <w:bookmarkStart w:id="20" w:name="_Toc175402800"/>
      <w:r>
        <w:rPr>
          <w:i/>
        </w:rPr>
        <w:t>2.2.5. Зона транспортной инфраструктуры</w:t>
      </w:r>
      <w:bookmarkEnd w:id="19"/>
      <w:bookmarkEnd w:id="20"/>
    </w:p>
    <w:p w:rsidR="00571A68" w:rsidRDefault="00571A68" w:rsidP="00571A68">
      <w:pPr>
        <w:pStyle w:val="S0"/>
        <w:spacing w:line="240" w:lineRule="auto"/>
      </w:pPr>
      <w:r>
        <w:t>Зона транспортной инфраструктуры предусматривает строительство улично-дорожной сети на территории поселка:</w:t>
      </w:r>
    </w:p>
    <w:p w:rsidR="00571A68" w:rsidRDefault="00571A68" w:rsidP="00571A68">
      <w:pPr>
        <w:pStyle w:val="S0"/>
        <w:spacing w:line="240" w:lineRule="auto"/>
      </w:pPr>
      <w:r>
        <w:t>поселковые дороги;</w:t>
      </w:r>
    </w:p>
    <w:p w:rsidR="00571A68" w:rsidRDefault="00571A68" w:rsidP="00571A68">
      <w:pPr>
        <w:pStyle w:val="S0"/>
        <w:spacing w:line="240" w:lineRule="auto"/>
      </w:pPr>
      <w:r>
        <w:t>главные улицы;</w:t>
      </w:r>
    </w:p>
    <w:p w:rsidR="00571A68" w:rsidRDefault="00571A68" w:rsidP="00571A68">
      <w:pPr>
        <w:pStyle w:val="S0"/>
        <w:spacing w:line="240" w:lineRule="auto"/>
      </w:pPr>
      <w:r>
        <w:t>улицы в жилой застройке основные;</w:t>
      </w:r>
    </w:p>
    <w:p w:rsidR="00571A68" w:rsidRDefault="00571A68" w:rsidP="00571A68">
      <w:pPr>
        <w:pStyle w:val="S0"/>
        <w:spacing w:line="240" w:lineRule="auto"/>
      </w:pPr>
      <w:r>
        <w:t>улицы в жилой застройке второстепенные;</w:t>
      </w:r>
    </w:p>
    <w:p w:rsidR="00571A68" w:rsidRDefault="00571A68" w:rsidP="00571A68">
      <w:pPr>
        <w:pStyle w:val="S0"/>
        <w:spacing w:line="240" w:lineRule="auto"/>
      </w:pPr>
      <w:r>
        <w:t>проезды.</w:t>
      </w:r>
    </w:p>
    <w:p w:rsidR="00571A68" w:rsidRDefault="00571A68" w:rsidP="00571A68">
      <w:pPr>
        <w:pStyle w:val="S0"/>
        <w:spacing w:line="240" w:lineRule="auto"/>
      </w:pPr>
      <w:r>
        <w:t>Размещение зон транспортной инфраструктуры под строительство объектов на территории поселка:</w:t>
      </w:r>
    </w:p>
    <w:p w:rsidR="00571A68" w:rsidRDefault="00571A68" w:rsidP="00571A68">
      <w:pPr>
        <w:pStyle w:val="S0"/>
        <w:spacing w:line="240" w:lineRule="auto"/>
      </w:pPr>
      <w:r>
        <w:t>гаражи индивидуального транспорта;</w:t>
      </w:r>
    </w:p>
    <w:p w:rsidR="00571A68" w:rsidRDefault="00571A68" w:rsidP="00571A68">
      <w:pPr>
        <w:pStyle w:val="S0"/>
        <w:spacing w:line="240" w:lineRule="auto"/>
      </w:pPr>
      <w:r>
        <w:t>станция технического обслуживания.</w:t>
      </w:r>
    </w:p>
    <w:p w:rsidR="00571A68" w:rsidRDefault="00571A68" w:rsidP="00571A68">
      <w:pPr>
        <w:pStyle w:val="S0"/>
        <w:spacing w:line="240" w:lineRule="auto"/>
        <w:jc w:val="left"/>
      </w:pPr>
      <w:bookmarkStart w:id="21" w:name="_Toc204682773"/>
      <w:bookmarkStart w:id="22" w:name="_Toc144628909"/>
      <w:r>
        <w:t>2.3. Мероприятия по развитию и размещению объектов</w:t>
      </w:r>
    </w:p>
    <w:p w:rsidR="00571A68" w:rsidRDefault="00571A68" w:rsidP="00571A68">
      <w:pPr>
        <w:pStyle w:val="S0"/>
        <w:spacing w:line="240" w:lineRule="auto"/>
        <w:jc w:val="left"/>
        <w:rPr>
          <w:b/>
          <w:i/>
          <w:u w:val="single"/>
        </w:rPr>
      </w:pPr>
      <w:r>
        <w:lastRenderedPageBreak/>
        <w:t>капитального строительства</w:t>
      </w:r>
      <w:bookmarkEnd w:id="21"/>
      <w:bookmarkEnd w:id="22"/>
    </w:p>
    <w:p w:rsidR="00571A68" w:rsidRDefault="00571A68" w:rsidP="00571A68">
      <w:pPr>
        <w:pStyle w:val="S0"/>
        <w:spacing w:line="240" w:lineRule="auto"/>
      </w:pPr>
      <w:bookmarkStart w:id="23" w:name="_Toc144628910"/>
      <w:bookmarkStart w:id="24" w:name="_Toc204682774"/>
      <w:r>
        <w:t xml:space="preserve">2.3.1. Развитие и размещение объектов </w:t>
      </w:r>
      <w:bookmarkEnd w:id="23"/>
      <w:r>
        <w:t>жилищной сферы</w:t>
      </w:r>
      <w:bookmarkEnd w:id="24"/>
    </w:p>
    <w:p w:rsidR="00571A68" w:rsidRDefault="00571A68" w:rsidP="00571A68">
      <w:pPr>
        <w:pStyle w:val="S0"/>
        <w:spacing w:line="240" w:lineRule="auto"/>
      </w:pPr>
      <w:bookmarkStart w:id="25" w:name="_Toc144628917"/>
      <w:r>
        <w:t>Мероприятия по развитию и размещению объектов жилищного строительства:</w:t>
      </w:r>
    </w:p>
    <w:p w:rsidR="00571A68" w:rsidRDefault="00571A68" w:rsidP="00571A68">
      <w:pPr>
        <w:pStyle w:val="S0"/>
        <w:spacing w:line="240" w:lineRule="auto"/>
      </w:pPr>
      <w:r>
        <w:t xml:space="preserve">увеличение средней жилищной обеспеченности до 25 </w:t>
      </w:r>
      <w:proofErr w:type="spellStart"/>
      <w:r>
        <w:t>кв.м</w:t>
      </w:r>
      <w:proofErr w:type="spellEnd"/>
      <w:r>
        <w:t>. на человека;</w:t>
      </w:r>
    </w:p>
    <w:p w:rsidR="00571A68" w:rsidRDefault="00571A68" w:rsidP="00571A68">
      <w:pPr>
        <w:pStyle w:val="S0"/>
        <w:spacing w:line="240" w:lineRule="auto"/>
      </w:pPr>
      <w:r>
        <w:t xml:space="preserve">размещение индивидуальной жилой застройки (1-3 </w:t>
      </w:r>
      <w:proofErr w:type="spellStart"/>
      <w:r>
        <w:t>эт</w:t>
      </w:r>
      <w:proofErr w:type="spellEnd"/>
      <w:r>
        <w:t>.) – 1,25 тыс. 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(одноквартирные жилые дома с приусадебными участками); малоэтажной жилой застройки (1-3 </w:t>
      </w:r>
      <w:proofErr w:type="spellStart"/>
      <w:r>
        <w:t>эт</w:t>
      </w:r>
      <w:proofErr w:type="spellEnd"/>
      <w:r>
        <w:t>.) – 5,2 тыс. м</w:t>
      </w:r>
      <w:r>
        <w:rPr>
          <w:vertAlign w:val="superscript"/>
        </w:rPr>
        <w:t>2</w:t>
      </w:r>
      <w:r>
        <w:t xml:space="preserve"> (блокированные жилые дома) и </w:t>
      </w:r>
      <w:proofErr w:type="spellStart"/>
      <w:r>
        <w:t>среднеэтажной</w:t>
      </w:r>
      <w:proofErr w:type="spellEnd"/>
      <w:r>
        <w:t xml:space="preserve"> жилой застройки (3-5 </w:t>
      </w:r>
      <w:proofErr w:type="spellStart"/>
      <w:r>
        <w:t>эт</w:t>
      </w:r>
      <w:proofErr w:type="spellEnd"/>
      <w:r>
        <w:t>.) – 10,51тыс. м</w:t>
      </w:r>
      <w:r>
        <w:rPr>
          <w:vertAlign w:val="superscript"/>
        </w:rPr>
        <w:t xml:space="preserve">2 </w:t>
      </w:r>
      <w:r>
        <w:t>(многоквартирные жилые дома);</w:t>
      </w:r>
    </w:p>
    <w:p w:rsidR="00571A68" w:rsidRDefault="00571A68" w:rsidP="00571A68">
      <w:pPr>
        <w:pStyle w:val="S0"/>
        <w:spacing w:line="240" w:lineRule="auto"/>
      </w:pPr>
      <w:r>
        <w:t>упорядочение существующей жилой застройки с увеличением жилых территорий;</w:t>
      </w:r>
    </w:p>
    <w:p w:rsidR="00571A68" w:rsidRDefault="00571A68" w:rsidP="00571A68">
      <w:pPr>
        <w:pStyle w:val="S0"/>
        <w:spacing w:line="240" w:lineRule="auto"/>
      </w:pPr>
      <w:r>
        <w:t>строительство жилищного фонда в объеме порядка 16 952 тыс. 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571A68" w:rsidRDefault="00571A68" w:rsidP="00571A68">
      <w:pPr>
        <w:pStyle w:val="S0"/>
        <w:spacing w:line="240" w:lineRule="auto"/>
      </w:pPr>
      <w:r>
        <w:t>распределение  объемов  строительства по трем периодам 2008-2013 гг., 2013-2018 гг., 2018-2025 гг. в соотношении 23%, 49% и 28% соответственно.</w:t>
      </w:r>
    </w:p>
    <w:p w:rsidR="00571A68" w:rsidRDefault="00571A68" w:rsidP="00571A68">
      <w:pPr>
        <w:pStyle w:val="S0"/>
        <w:spacing w:line="240" w:lineRule="auto"/>
      </w:pPr>
      <w:bookmarkStart w:id="26" w:name="_Toc204682775"/>
      <w:r>
        <w:t>2.3.2. Развитие и размещение объектов социальной сферы</w:t>
      </w:r>
      <w:bookmarkEnd w:id="26"/>
    </w:p>
    <w:bookmarkEnd w:id="25"/>
    <w:p w:rsidR="00571A68" w:rsidRDefault="00571A68" w:rsidP="00571A68">
      <w:pPr>
        <w:pStyle w:val="S0"/>
        <w:spacing w:line="240" w:lineRule="auto"/>
      </w:pPr>
      <w:r>
        <w:t>Мероприятия по развитию и размещению объектов социальной сферы:</w:t>
      </w:r>
    </w:p>
    <w:p w:rsidR="00571A68" w:rsidRDefault="00571A68" w:rsidP="00571A68">
      <w:pPr>
        <w:pStyle w:val="S0"/>
        <w:spacing w:line="240" w:lineRule="auto"/>
      </w:pPr>
      <w:r>
        <w:rPr>
          <w:lang w:val="en-US"/>
        </w:rPr>
        <w:t>I</w:t>
      </w:r>
      <w:r>
        <w:t>. Строительство объектов социально-бытового назначения:</w:t>
      </w:r>
    </w:p>
    <w:p w:rsidR="00571A68" w:rsidRDefault="00571A68" w:rsidP="00571A68">
      <w:pPr>
        <w:pStyle w:val="S0"/>
        <w:spacing w:line="240" w:lineRule="auto"/>
      </w:pPr>
      <w:r>
        <w:t>детский сад на 80 мест;</w:t>
      </w:r>
    </w:p>
    <w:p w:rsidR="00571A68" w:rsidRDefault="00571A68" w:rsidP="00571A68">
      <w:pPr>
        <w:pStyle w:val="S0"/>
        <w:spacing w:line="240" w:lineRule="auto"/>
      </w:pPr>
      <w:r>
        <w:t>магазин мощностью 140 м</w:t>
      </w:r>
      <w:proofErr w:type="gramStart"/>
      <w:r>
        <w:t>2</w:t>
      </w:r>
      <w:proofErr w:type="gramEnd"/>
      <w:r>
        <w:t xml:space="preserve"> торговой площади;</w:t>
      </w:r>
    </w:p>
    <w:p w:rsidR="00571A68" w:rsidRDefault="00571A68" w:rsidP="00571A68">
      <w:pPr>
        <w:pStyle w:val="S0"/>
        <w:spacing w:line="240" w:lineRule="auto"/>
      </w:pPr>
      <w:r>
        <w:t>рынок 299м2 торговой площади;</w:t>
      </w:r>
    </w:p>
    <w:p w:rsidR="00571A68" w:rsidRDefault="00571A68" w:rsidP="00571A68">
      <w:pPr>
        <w:pStyle w:val="S0"/>
        <w:spacing w:line="240" w:lineRule="auto"/>
      </w:pPr>
      <w:r>
        <w:t>футбольное поле 2 470 м</w:t>
      </w:r>
      <w:proofErr w:type="gramStart"/>
      <w:r>
        <w:t>2</w:t>
      </w:r>
      <w:proofErr w:type="gramEnd"/>
      <w:r>
        <w:t>;</w:t>
      </w:r>
    </w:p>
    <w:p w:rsidR="00571A68" w:rsidRDefault="00571A68" w:rsidP="00571A68">
      <w:pPr>
        <w:pStyle w:val="S0"/>
        <w:spacing w:line="240" w:lineRule="auto"/>
      </w:pPr>
      <w:r>
        <w:t>спортивный центр с универсальным игровым залом 64чел./час 2 364 м</w:t>
      </w:r>
      <w:proofErr w:type="gramStart"/>
      <w:r>
        <w:t>2</w:t>
      </w:r>
      <w:proofErr w:type="gramEnd"/>
      <w:r>
        <w:t>;</w:t>
      </w:r>
    </w:p>
    <w:p w:rsidR="00571A68" w:rsidRDefault="00571A68" w:rsidP="00571A68">
      <w:pPr>
        <w:pStyle w:val="S0"/>
        <w:spacing w:line="240" w:lineRule="auto"/>
      </w:pPr>
      <w:r>
        <w:t>лыжная трасса со вспомогательными сооружениями 3-5 км.</w:t>
      </w:r>
    </w:p>
    <w:p w:rsidR="00571A68" w:rsidRDefault="00571A68" w:rsidP="00571A68">
      <w:pPr>
        <w:pStyle w:val="S0"/>
        <w:spacing w:line="240" w:lineRule="auto"/>
      </w:pPr>
      <w:bookmarkStart w:id="27" w:name="_Toc204682776"/>
      <w:r>
        <w:t>2.3.3. Развитие и размещение объектов производственной сферы</w:t>
      </w:r>
      <w:bookmarkEnd w:id="27"/>
    </w:p>
    <w:p w:rsidR="00571A68" w:rsidRDefault="00571A68" w:rsidP="00571A68">
      <w:pPr>
        <w:pStyle w:val="S0"/>
        <w:spacing w:line="240" w:lineRule="auto"/>
      </w:pPr>
      <w:bookmarkStart w:id="28" w:name="_Toc204682777"/>
      <w:r>
        <w:t>2.3.4. Развитие и размещение объектов транспортной инфраструктуры</w:t>
      </w:r>
      <w:bookmarkEnd w:id="28"/>
    </w:p>
    <w:p w:rsidR="00571A68" w:rsidRDefault="00571A68" w:rsidP="00571A68">
      <w:pPr>
        <w:pStyle w:val="S0"/>
        <w:spacing w:line="240" w:lineRule="auto"/>
      </w:pPr>
      <w:bookmarkStart w:id="29" w:name="_Toc137811163"/>
      <w:r>
        <w:t>Улично-дорожная сеть и поселковый транспорт</w:t>
      </w:r>
      <w:bookmarkEnd w:id="29"/>
    </w:p>
    <w:p w:rsidR="00571A68" w:rsidRDefault="00571A68" w:rsidP="00571A68">
      <w:pPr>
        <w:pStyle w:val="S0"/>
        <w:spacing w:line="240" w:lineRule="auto"/>
      </w:pPr>
      <w:r>
        <w:t xml:space="preserve">  Совершенствование улично-дорожной сети населенного пункта путем реализации мероприятий по </w:t>
      </w:r>
      <w:proofErr w:type="gramStart"/>
      <w:r>
        <w:t>реконструкции</w:t>
      </w:r>
      <w:proofErr w:type="gramEnd"/>
      <w:r>
        <w:t xml:space="preserve"> существующих и строительству новых улиц и дорог:</w:t>
      </w:r>
    </w:p>
    <w:p w:rsidR="00571A68" w:rsidRDefault="00571A68" w:rsidP="00571A68">
      <w:pPr>
        <w:pStyle w:val="S0"/>
        <w:spacing w:line="240" w:lineRule="auto"/>
      </w:pPr>
      <w:r>
        <w:t>реконструкция основных улиц и дорог на территории поселка;</w:t>
      </w:r>
    </w:p>
    <w:p w:rsidR="00571A68" w:rsidRDefault="00571A68" w:rsidP="00571A68">
      <w:pPr>
        <w:pStyle w:val="S0"/>
        <w:spacing w:line="240" w:lineRule="auto"/>
      </w:pPr>
      <w:r>
        <w:t>строительство внутриквартальных транспортных связей в районах новой застройки, а также второстепенных улиц и проездов.</w:t>
      </w:r>
    </w:p>
    <w:p w:rsidR="00571A68" w:rsidRDefault="00571A68" w:rsidP="00571A68">
      <w:pPr>
        <w:pStyle w:val="S0"/>
        <w:spacing w:line="240" w:lineRule="auto"/>
      </w:pPr>
      <w:r>
        <w:t xml:space="preserve">Параметры улично-дорожной сети должны быть доведены до </w:t>
      </w:r>
      <w:proofErr w:type="gramStart"/>
      <w:r>
        <w:t>нормативных</w:t>
      </w:r>
      <w:proofErr w:type="gramEnd"/>
      <w:r>
        <w:t xml:space="preserve"> и отвечать назначенной категории:</w:t>
      </w:r>
    </w:p>
    <w:p w:rsidR="00571A68" w:rsidRDefault="00571A68" w:rsidP="00571A68">
      <w:pPr>
        <w:pStyle w:val="S0"/>
        <w:spacing w:line="240" w:lineRule="auto"/>
      </w:pPr>
      <w:r>
        <w:t>- поселковые дороги с шириной проезжей части 8 м, протяженностью 2,0 км, площадью покрытия 16 000м</w:t>
      </w:r>
      <w:r>
        <w:rPr>
          <w:vertAlign w:val="superscript"/>
        </w:rPr>
        <w:t>2</w:t>
      </w:r>
      <w:r>
        <w:t>;</w:t>
      </w:r>
    </w:p>
    <w:p w:rsidR="00571A68" w:rsidRDefault="00571A68" w:rsidP="00571A68">
      <w:pPr>
        <w:pStyle w:val="S0"/>
        <w:spacing w:line="240" w:lineRule="auto"/>
      </w:pPr>
      <w:r>
        <w:t>-  главные улицы с шириной проезжей части 8 м, протяженностью 0,5 км, площадью покрытия 4 000 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571A68" w:rsidRDefault="00571A68" w:rsidP="00571A68">
      <w:pPr>
        <w:pStyle w:val="S0"/>
        <w:spacing w:line="240" w:lineRule="auto"/>
      </w:pPr>
      <w:r>
        <w:t>- основные улицы в жилой застройке с шириной проезжей части 7 м, протяженностью 1,5 км, площадью покрытия 10 500 м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571A68" w:rsidRDefault="00571A68" w:rsidP="00571A68">
      <w:pPr>
        <w:pStyle w:val="S0"/>
        <w:spacing w:line="240" w:lineRule="auto"/>
      </w:pPr>
      <w:r>
        <w:t>- второстепенные улицы в жилой застройке с шириной проезжей части 6 м, протяженностью 6 км, площадью покрытия 36 000м</w:t>
      </w:r>
      <w:r>
        <w:rPr>
          <w:vertAlign w:val="superscript"/>
        </w:rPr>
        <w:t>2</w:t>
      </w:r>
      <w:r>
        <w:t>;</w:t>
      </w:r>
    </w:p>
    <w:p w:rsidR="00571A68" w:rsidRDefault="00571A68" w:rsidP="00571A68">
      <w:pPr>
        <w:pStyle w:val="S0"/>
        <w:spacing w:line="240" w:lineRule="auto"/>
      </w:pPr>
      <w:bookmarkStart w:id="30" w:name="_Toc204682778"/>
      <w:bookmarkStart w:id="31" w:name="_Toc144628918"/>
      <w:bookmarkStart w:id="32" w:name="_Toc141946416"/>
      <w:bookmarkStart w:id="33" w:name="_Toc141946209"/>
      <w:bookmarkStart w:id="34" w:name="_Toc141946098"/>
      <w:bookmarkStart w:id="35" w:name="_Toc141946052"/>
      <w:r>
        <w:t>2.3.5. Развитие и размещение объектов инженерной инфраструктуры</w:t>
      </w:r>
      <w:bookmarkEnd w:id="30"/>
      <w:bookmarkEnd w:id="31"/>
      <w:bookmarkEnd w:id="32"/>
      <w:bookmarkEnd w:id="33"/>
      <w:bookmarkEnd w:id="34"/>
      <w:bookmarkEnd w:id="35"/>
    </w:p>
    <w:p w:rsidR="00571A68" w:rsidRDefault="00571A68" w:rsidP="00571A68">
      <w:pPr>
        <w:pStyle w:val="S0"/>
        <w:spacing w:line="240" w:lineRule="auto"/>
      </w:pPr>
      <w:r>
        <w:t>Мероприятия, направленные на повышение уровня инженерного обеспечения территории поселения по всем направлениям инженерного обеспечения.</w:t>
      </w:r>
    </w:p>
    <w:p w:rsidR="00571A68" w:rsidRDefault="00571A68" w:rsidP="00571A68">
      <w:pPr>
        <w:pStyle w:val="S0"/>
        <w:spacing w:line="240" w:lineRule="auto"/>
      </w:pPr>
      <w:bookmarkStart w:id="36" w:name="_Toc144628919"/>
      <w:bookmarkStart w:id="37" w:name="_Toc142371749"/>
      <w:r>
        <w:t>2.3.5.1. Водоснабжение</w:t>
      </w:r>
      <w:bookmarkEnd w:id="36"/>
      <w:bookmarkEnd w:id="37"/>
    </w:p>
    <w:p w:rsidR="00571A68" w:rsidRDefault="00571A68" w:rsidP="00571A68">
      <w:pPr>
        <w:pStyle w:val="S0"/>
        <w:spacing w:line="240" w:lineRule="auto"/>
      </w:pPr>
      <w:r>
        <w:t>По реконструкции и развитию системы водоснабжения  предусмотрены следующие мероприятия:</w:t>
      </w:r>
    </w:p>
    <w:p w:rsidR="00571A68" w:rsidRDefault="00571A68" w:rsidP="00571A68">
      <w:pPr>
        <w:pStyle w:val="S0"/>
        <w:spacing w:line="240" w:lineRule="auto"/>
      </w:pPr>
      <w:r>
        <w:t xml:space="preserve">- строительство </w:t>
      </w:r>
      <w:r>
        <w:rPr>
          <w:color w:val="000000"/>
        </w:rPr>
        <w:t>ВОС</w:t>
      </w:r>
      <w:r>
        <w:rPr>
          <w:color w:val="FF0000"/>
        </w:rPr>
        <w:t xml:space="preserve"> </w:t>
      </w:r>
      <w:r>
        <w:t>600 м3/</w:t>
      </w:r>
      <w:proofErr w:type="spellStart"/>
      <w:proofErr w:type="gramStart"/>
      <w:r>
        <w:t>сут</w:t>
      </w:r>
      <w:proofErr w:type="spellEnd"/>
      <w:r>
        <w:t>. и</w:t>
      </w:r>
      <w:proofErr w:type="gramEnd"/>
      <w:r>
        <w:t xml:space="preserve"> сетей водоснабжения.</w:t>
      </w:r>
    </w:p>
    <w:p w:rsidR="00571A68" w:rsidRDefault="00571A68" w:rsidP="00571A68">
      <w:pPr>
        <w:pStyle w:val="S0"/>
        <w:spacing w:line="240" w:lineRule="auto"/>
      </w:pPr>
      <w:r>
        <w:t>- сети водоснабжения в пределах застроенных территорий 5,0 км</w:t>
      </w:r>
    </w:p>
    <w:p w:rsidR="00571A68" w:rsidRDefault="00571A68" w:rsidP="00571A68">
      <w:pPr>
        <w:pStyle w:val="S0"/>
        <w:spacing w:line="240" w:lineRule="auto"/>
      </w:pPr>
      <w:bookmarkStart w:id="38" w:name="_Toc144628920"/>
      <w:bookmarkStart w:id="39" w:name="_Toc142371750"/>
      <w:r>
        <w:t>2.3.5.2. Водоотведение (канализация)</w:t>
      </w:r>
      <w:bookmarkEnd w:id="38"/>
      <w:bookmarkEnd w:id="39"/>
    </w:p>
    <w:p w:rsidR="00571A68" w:rsidRDefault="00571A68" w:rsidP="00571A68">
      <w:pPr>
        <w:pStyle w:val="S0"/>
        <w:spacing w:line="240" w:lineRule="auto"/>
      </w:pPr>
      <w:r>
        <w:lastRenderedPageBreak/>
        <w:t>По реконструкции и развитию системы канализации  предусмотрены следующие мероприятия:</w:t>
      </w:r>
    </w:p>
    <w:p w:rsidR="00571A68" w:rsidRDefault="00571A68" w:rsidP="00571A68">
      <w:pPr>
        <w:pStyle w:val="S0"/>
        <w:spacing w:line="240" w:lineRule="auto"/>
      </w:pPr>
      <w:r>
        <w:t xml:space="preserve">- выполнить строительство  </w:t>
      </w:r>
      <w:r>
        <w:rPr>
          <w:color w:val="000000"/>
        </w:rPr>
        <w:t>КНС</w:t>
      </w:r>
      <w:r>
        <w:t xml:space="preserve"> производительностью 400 м3/</w:t>
      </w:r>
      <w:proofErr w:type="spellStart"/>
      <w:r>
        <w:t>сут</w:t>
      </w:r>
      <w:proofErr w:type="spellEnd"/>
      <w:r>
        <w:t xml:space="preserve">; </w:t>
      </w:r>
    </w:p>
    <w:p w:rsidR="00571A68" w:rsidRDefault="00571A68" w:rsidP="00571A68">
      <w:pPr>
        <w:pStyle w:val="S0"/>
        <w:spacing w:line="240" w:lineRule="auto"/>
      </w:pPr>
      <w:r>
        <w:t>- выполнить строительство самотечных и напорных сетей канализации диаметром 110-общей протяженностью 2 км.</w:t>
      </w:r>
    </w:p>
    <w:p w:rsidR="00571A68" w:rsidRDefault="00571A68" w:rsidP="00571A68">
      <w:pPr>
        <w:pStyle w:val="S0"/>
        <w:spacing w:line="240" w:lineRule="auto"/>
      </w:pPr>
      <w:bookmarkStart w:id="40" w:name="_Toc144628921"/>
      <w:bookmarkStart w:id="41" w:name="_Toc142371751"/>
      <w:r>
        <w:t>2.3.5.3. Теплоснабжени</w:t>
      </w:r>
      <w:bookmarkEnd w:id="40"/>
      <w:bookmarkEnd w:id="41"/>
      <w:r>
        <w:t>е</w:t>
      </w:r>
    </w:p>
    <w:p w:rsidR="00571A68" w:rsidRDefault="00571A68" w:rsidP="00571A68">
      <w:pPr>
        <w:pStyle w:val="S0"/>
        <w:spacing w:line="240" w:lineRule="auto"/>
      </w:pPr>
      <w:r>
        <w:t>По реконструкции и развитию системы теплоснабжения  предусмотрены следующие мероприятия:</w:t>
      </w:r>
    </w:p>
    <w:p w:rsidR="00571A68" w:rsidRDefault="00571A68" w:rsidP="00571A68">
      <w:pPr>
        <w:pStyle w:val="S0"/>
        <w:spacing w:line="240" w:lineRule="auto"/>
      </w:pPr>
      <w:r>
        <w:t xml:space="preserve">- строительство тепловых сетей в пенополиуретановой изоляции диаметром 57-100 мм, общей протяженностью 5,0 км; </w:t>
      </w:r>
    </w:p>
    <w:p w:rsidR="00571A68" w:rsidRDefault="00571A68" w:rsidP="00571A68">
      <w:pPr>
        <w:pStyle w:val="S0"/>
        <w:spacing w:line="240" w:lineRule="auto"/>
      </w:pPr>
      <w:r>
        <w:t xml:space="preserve">2.3.5.4. </w:t>
      </w:r>
      <w:bookmarkStart w:id="42" w:name="_Toc144628924"/>
      <w:bookmarkStart w:id="43" w:name="_Toc142371754"/>
      <w:r>
        <w:t>Электроснабжение</w:t>
      </w:r>
      <w:bookmarkEnd w:id="42"/>
      <w:bookmarkEnd w:id="43"/>
    </w:p>
    <w:p w:rsidR="00571A68" w:rsidRDefault="00571A68" w:rsidP="00571A68">
      <w:pPr>
        <w:pStyle w:val="S0"/>
        <w:spacing w:line="240" w:lineRule="auto"/>
      </w:pPr>
      <w:r>
        <w:t>По реконструкции и развитию системы электроснабжения  предусмотрены следующие мероприятия:</w:t>
      </w:r>
    </w:p>
    <w:p w:rsidR="00571A68" w:rsidRDefault="00571A68" w:rsidP="00571A68">
      <w:pPr>
        <w:pStyle w:val="S0"/>
        <w:spacing w:line="240" w:lineRule="auto"/>
      </w:pPr>
      <w:r>
        <w:t>- строительство 2-х новых трансформаторных подстанций (мощность и марку оборудования уточнить при разработке рабочей документации);</w:t>
      </w:r>
    </w:p>
    <w:p w:rsidR="00571A68" w:rsidRDefault="00571A68" w:rsidP="00571A68">
      <w:pPr>
        <w:pStyle w:val="S0"/>
        <w:spacing w:line="240" w:lineRule="auto"/>
      </w:pPr>
      <w:r>
        <w:t>-строительство новых высоковольтных линий электропередач протяженностью 1,4 км;</w:t>
      </w:r>
    </w:p>
    <w:p w:rsidR="00571A68" w:rsidRDefault="00571A68" w:rsidP="00571A68">
      <w:pPr>
        <w:pStyle w:val="S0"/>
        <w:spacing w:line="240" w:lineRule="auto"/>
      </w:pPr>
      <w:r>
        <w:t xml:space="preserve">- строительство новых сетей электроснабжения 0,4 </w:t>
      </w:r>
      <w:proofErr w:type="spellStart"/>
      <w:r>
        <w:t>кВ</w:t>
      </w:r>
      <w:proofErr w:type="spellEnd"/>
      <w:r>
        <w:t xml:space="preserve"> протяженностью 2,2 км.</w:t>
      </w:r>
    </w:p>
    <w:p w:rsidR="00571A68" w:rsidRDefault="00571A68" w:rsidP="00571A68">
      <w:pPr>
        <w:pStyle w:val="S0"/>
        <w:spacing w:line="240" w:lineRule="auto"/>
        <w:jc w:val="left"/>
      </w:pPr>
      <w:bookmarkStart w:id="44" w:name="_Toc204682779"/>
      <w:bookmarkStart w:id="45" w:name="_Toc144628925"/>
      <w:r>
        <w:t>2.4. Мероприятия по охране окружающей среды, благоустройству и озеленению территории населенного пункта, использованию и охране лесов</w:t>
      </w:r>
      <w:bookmarkEnd w:id="44"/>
      <w:bookmarkEnd w:id="45"/>
    </w:p>
    <w:p w:rsidR="00571A68" w:rsidRDefault="00571A68" w:rsidP="00571A68">
      <w:pPr>
        <w:pStyle w:val="S0"/>
        <w:spacing w:line="240" w:lineRule="auto"/>
      </w:pPr>
      <w:r>
        <w:t>2.4.1. Охрана атмосферного воздуха от загрязнений.</w:t>
      </w:r>
    </w:p>
    <w:p w:rsidR="00571A68" w:rsidRDefault="00571A68" w:rsidP="00571A68">
      <w:pPr>
        <w:pStyle w:val="S0"/>
        <w:spacing w:line="240" w:lineRule="auto"/>
      </w:pPr>
      <w:r>
        <w:t xml:space="preserve">В настоящее время в существующих промышленных зонах осуществляют свою производственную деятельность предприятия нефтегазодобывающего, геологического, коммунального и др. направлений. Кроме промышленных площадок, расположенных в </w:t>
      </w:r>
      <w:proofErr w:type="spellStart"/>
      <w:r>
        <w:t>промзоне</w:t>
      </w:r>
      <w:proofErr w:type="spellEnd"/>
      <w:r>
        <w:t xml:space="preserve"> поселка, действуют АЗС, гаражи, и др. объекты, имеющие в своем составе источники выбросов загрязняющих веществ в атмосферу.</w:t>
      </w:r>
    </w:p>
    <w:p w:rsidR="00571A68" w:rsidRDefault="00571A68" w:rsidP="00571A68">
      <w:pPr>
        <w:pStyle w:val="S0"/>
        <w:spacing w:line="240" w:lineRule="auto"/>
      </w:pPr>
      <w:r>
        <w:t>В целом для улучшения качества атмосферного воздуха генеральным планом предложены следующие мероприятия:</w:t>
      </w:r>
    </w:p>
    <w:p w:rsidR="00571A68" w:rsidRDefault="00571A68" w:rsidP="00571A68">
      <w:pPr>
        <w:pStyle w:val="S0"/>
        <w:spacing w:line="240" w:lineRule="auto"/>
      </w:pPr>
      <w:r>
        <w:t>- централизованное отопление индивидуальной жилой застройки;</w:t>
      </w:r>
    </w:p>
    <w:p w:rsidR="00571A68" w:rsidRDefault="00571A68" w:rsidP="00571A68">
      <w:pPr>
        <w:pStyle w:val="S0"/>
        <w:spacing w:line="240" w:lineRule="auto"/>
      </w:pPr>
      <w:r>
        <w:t xml:space="preserve">- организация, благоустройство, озеленение ССЗ </w:t>
      </w:r>
      <w:proofErr w:type="spellStart"/>
      <w:r>
        <w:t>промзоны</w:t>
      </w:r>
      <w:proofErr w:type="spellEnd"/>
      <w:r>
        <w:t>;</w:t>
      </w:r>
    </w:p>
    <w:p w:rsidR="00571A68" w:rsidRDefault="00571A68" w:rsidP="00571A68">
      <w:pPr>
        <w:pStyle w:val="S0"/>
        <w:spacing w:line="240" w:lineRule="auto"/>
      </w:pPr>
      <w:r>
        <w:t>- озеленение территории и прилегающей части дорог;</w:t>
      </w:r>
    </w:p>
    <w:p w:rsidR="00571A68" w:rsidRDefault="00571A68" w:rsidP="00571A68">
      <w:pPr>
        <w:pStyle w:val="S0"/>
        <w:spacing w:line="240" w:lineRule="auto"/>
      </w:pPr>
      <w:r>
        <w:t>- проведение работ по нормированию выбросов;</w:t>
      </w:r>
    </w:p>
    <w:p w:rsidR="00571A68" w:rsidRDefault="00571A68" w:rsidP="00571A68">
      <w:pPr>
        <w:pStyle w:val="S0"/>
        <w:spacing w:line="240" w:lineRule="auto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нормативов выбросов и ПДК.</w:t>
      </w:r>
    </w:p>
    <w:p w:rsidR="00571A68" w:rsidRDefault="00571A68" w:rsidP="00571A68">
      <w:pPr>
        <w:pStyle w:val="S0"/>
        <w:spacing w:line="240" w:lineRule="auto"/>
      </w:pPr>
      <w:r>
        <w:t>2.4.2. Охрана и рациональное использование водных ресурсов.</w:t>
      </w:r>
    </w:p>
    <w:p w:rsidR="00571A68" w:rsidRDefault="00571A68" w:rsidP="00571A68">
      <w:pPr>
        <w:pStyle w:val="S0"/>
        <w:spacing w:line="240" w:lineRule="auto"/>
      </w:pPr>
      <w:r>
        <w:t xml:space="preserve">Воздействие п. </w:t>
      </w:r>
      <w:proofErr w:type="spellStart"/>
      <w:r>
        <w:t>Каркатеевы</w:t>
      </w:r>
      <w:proofErr w:type="spellEnd"/>
      <w:r>
        <w:t xml:space="preserve"> на водные объекты выражается в следующем:</w:t>
      </w:r>
    </w:p>
    <w:p w:rsidR="00571A68" w:rsidRDefault="00571A68" w:rsidP="00571A68">
      <w:pPr>
        <w:pStyle w:val="S0"/>
        <w:spacing w:line="240" w:lineRule="auto"/>
      </w:pPr>
      <w:r>
        <w:t>- загрязнение поверхностных сточных вод в результате захламления</w:t>
      </w:r>
      <w:r>
        <w:br/>
        <w:t>(свалки  коммунальных и бытовых отходов) территории  поселковой</w:t>
      </w:r>
      <w:r>
        <w:br/>
        <w:t>застройки, расположенной на водосборной площади;</w:t>
      </w:r>
    </w:p>
    <w:p w:rsidR="00571A68" w:rsidRDefault="00571A68" w:rsidP="00571A68">
      <w:pPr>
        <w:pStyle w:val="S0"/>
        <w:spacing w:line="240" w:lineRule="auto"/>
      </w:pPr>
      <w:r>
        <w:t>- водозабор из подземных и поверхностных источников;</w:t>
      </w:r>
    </w:p>
    <w:p w:rsidR="00571A68" w:rsidRDefault="00571A68" w:rsidP="00571A68">
      <w:pPr>
        <w:pStyle w:val="S0"/>
        <w:spacing w:line="240" w:lineRule="auto"/>
      </w:pPr>
      <w:r>
        <w:t xml:space="preserve">- сброс сточных поверхностных вод (дождевых и талых), бытовых и производственных с территории поселения в протоку </w:t>
      </w:r>
      <w:proofErr w:type="gramStart"/>
      <w:r>
        <w:t>Горная</w:t>
      </w:r>
      <w:proofErr w:type="gramEnd"/>
      <w:r>
        <w:t xml:space="preserve">. </w:t>
      </w:r>
    </w:p>
    <w:p w:rsidR="00571A68" w:rsidRDefault="00571A68" w:rsidP="00571A68">
      <w:pPr>
        <w:pStyle w:val="S0"/>
        <w:spacing w:line="240" w:lineRule="auto"/>
      </w:pPr>
      <w:r>
        <w:t>В настоящее время территория индивидуальной застройки не благоустроена, не организован поверхностный водоотвод, отсутствуют очистные сооружения поверхностных сточных вод, нет дождевой канализации. Вся территория в санитарно-гигиеническом, а также экологическом отношении, представляет собой неблагополучную зону.</w:t>
      </w:r>
    </w:p>
    <w:p w:rsidR="00571A68" w:rsidRDefault="00571A68" w:rsidP="00571A68">
      <w:pPr>
        <w:pStyle w:val="S0"/>
        <w:spacing w:line="240" w:lineRule="auto"/>
      </w:pPr>
      <w:r>
        <w:t>В связи с этим, проектом генерального плана предусмотрены следующие мероприятия по охране водной среды:</w:t>
      </w:r>
    </w:p>
    <w:p w:rsidR="00571A68" w:rsidRDefault="00571A68" w:rsidP="00571A68">
      <w:pPr>
        <w:pStyle w:val="S0"/>
        <w:spacing w:line="240" w:lineRule="auto"/>
      </w:pPr>
      <w:r>
        <w:t xml:space="preserve">- организация </w:t>
      </w:r>
      <w:proofErr w:type="spellStart"/>
      <w:r>
        <w:t>водоохраных</w:t>
      </w:r>
      <w:proofErr w:type="spellEnd"/>
      <w:r>
        <w:t xml:space="preserve"> зон;</w:t>
      </w:r>
    </w:p>
    <w:p w:rsidR="00571A68" w:rsidRDefault="00571A68" w:rsidP="00571A68">
      <w:pPr>
        <w:pStyle w:val="S0"/>
        <w:spacing w:line="240" w:lineRule="auto"/>
      </w:pPr>
      <w:r>
        <w:lastRenderedPageBreak/>
        <w:t>- организация сбора и отведения поверхностных стоков с их последующей очисткой;</w:t>
      </w:r>
    </w:p>
    <w:p w:rsidR="00571A68" w:rsidRDefault="00571A68" w:rsidP="00571A68">
      <w:pPr>
        <w:pStyle w:val="S0"/>
        <w:spacing w:line="240" w:lineRule="auto"/>
      </w:pPr>
      <w:r>
        <w:t>- организация контроля уровня загрязнения поверхностных и грунтовых вод;</w:t>
      </w:r>
    </w:p>
    <w:p w:rsidR="00571A68" w:rsidRDefault="00571A68" w:rsidP="00571A68">
      <w:pPr>
        <w:pStyle w:val="S0"/>
        <w:spacing w:line="240" w:lineRule="auto"/>
      </w:pPr>
      <w:r>
        <w:t xml:space="preserve">Все эти мероприятия должны значительно улучшить состояние  водных ресурсов </w:t>
      </w:r>
      <w:proofErr w:type="spellStart"/>
      <w:r>
        <w:t>п</w:t>
      </w:r>
      <w:proofErr w:type="gramStart"/>
      <w:r>
        <w:t>.К</w:t>
      </w:r>
      <w:proofErr w:type="gramEnd"/>
      <w:r>
        <w:t>аркатеевы</w:t>
      </w:r>
      <w:proofErr w:type="spellEnd"/>
      <w:r>
        <w:t>.</w:t>
      </w:r>
    </w:p>
    <w:p w:rsidR="00571A68" w:rsidRDefault="00571A68" w:rsidP="00571A68">
      <w:pPr>
        <w:pStyle w:val="S0"/>
        <w:spacing w:line="240" w:lineRule="auto"/>
      </w:pPr>
      <w:r>
        <w:t>2.4.3. Охрана и рациональное использование почв.</w:t>
      </w:r>
    </w:p>
    <w:p w:rsidR="00571A68" w:rsidRDefault="00571A68" w:rsidP="00571A68">
      <w:pPr>
        <w:pStyle w:val="S0"/>
        <w:spacing w:line="240" w:lineRule="auto"/>
      </w:pPr>
      <w:r>
        <w:t xml:space="preserve">Для обеспечения охраны и рационального использование почвы необходимо предусмотреть комплекс мероприятий по ее рекультивации. Рекультивации подлежат земли, нарушенные </w:t>
      </w:r>
      <w:proofErr w:type="gramStart"/>
      <w:r>
        <w:t>при</w:t>
      </w:r>
      <w:proofErr w:type="gramEnd"/>
      <w:r>
        <w:t>:</w:t>
      </w:r>
    </w:p>
    <w:p w:rsidR="00571A68" w:rsidRDefault="00571A68" w:rsidP="00571A68">
      <w:pPr>
        <w:pStyle w:val="S0"/>
        <w:spacing w:line="240" w:lineRule="auto"/>
      </w:pPr>
      <w:r>
        <w:t>- разработке месторождений полезных ископаемых;</w:t>
      </w:r>
    </w:p>
    <w:p w:rsidR="00571A68" w:rsidRDefault="00571A68" w:rsidP="00571A68">
      <w:pPr>
        <w:pStyle w:val="S0"/>
        <w:spacing w:line="240" w:lineRule="auto"/>
      </w:pPr>
      <w:r>
        <w:t>- прокладке трубопроводов различного назначения;</w:t>
      </w:r>
    </w:p>
    <w:p w:rsidR="00571A68" w:rsidRDefault="00571A68" w:rsidP="00571A68">
      <w:pPr>
        <w:pStyle w:val="S0"/>
        <w:spacing w:line="240" w:lineRule="auto"/>
      </w:pPr>
      <w:r>
        <w:t>- складирование и захоронение промышленных, бытовых и пр. отходов;</w:t>
      </w:r>
    </w:p>
    <w:p w:rsidR="00571A68" w:rsidRDefault="00571A68" w:rsidP="00571A68">
      <w:pPr>
        <w:pStyle w:val="S0"/>
        <w:spacing w:line="240" w:lineRule="auto"/>
      </w:pPr>
      <w:r>
        <w:t>- ликвидации последствий загрязнения земель.</w:t>
      </w:r>
    </w:p>
    <w:p w:rsidR="00571A68" w:rsidRDefault="00571A68" w:rsidP="00571A68">
      <w:pPr>
        <w:pStyle w:val="S0"/>
        <w:spacing w:line="240" w:lineRule="auto"/>
      </w:pPr>
      <w:r>
        <w:t xml:space="preserve">Порядок выдачи разрешений на проведение внутрихозяйственных работ, связанных с нарушением почвенного покрова, а также приемку и передачу </w:t>
      </w:r>
      <w:proofErr w:type="spellStart"/>
      <w:r>
        <w:t>рекультивированных</w:t>
      </w:r>
      <w:proofErr w:type="spellEnd"/>
      <w:r>
        <w:t xml:space="preserve"> земель, необходимо осуществлять в соответствии с требованиями приказа Комитета Российской Федерации по земельным ресурсам и землеустройству №67 от 22 декабря 1995 г.</w:t>
      </w:r>
    </w:p>
    <w:p w:rsidR="00571A68" w:rsidRDefault="00571A68" w:rsidP="00571A68">
      <w:pPr>
        <w:pStyle w:val="S0"/>
        <w:spacing w:line="240" w:lineRule="auto"/>
      </w:pPr>
      <w:r>
        <w:t xml:space="preserve">Твердые бытовые отходы предполагается собирать в специальные контейнеры и вывозить на полигон. </w:t>
      </w:r>
    </w:p>
    <w:p w:rsidR="00571A68" w:rsidRDefault="00571A68" w:rsidP="00571A68">
      <w:pPr>
        <w:pStyle w:val="S0"/>
        <w:spacing w:line="240" w:lineRule="auto"/>
      </w:pPr>
      <w:r>
        <w:t xml:space="preserve">Расчетное количество отходов на одного жителя поселка составит  300 кг/год, </w:t>
      </w:r>
    </w:p>
    <w:p w:rsidR="00571A68" w:rsidRDefault="00571A68" w:rsidP="00571A68">
      <w:pPr>
        <w:pStyle w:val="S0"/>
        <w:spacing w:line="240" w:lineRule="auto"/>
      </w:pPr>
      <w:r>
        <w:t>Смет с твердых покрытий дорог 15 кг/</w:t>
      </w:r>
      <w:proofErr w:type="spellStart"/>
      <w:r>
        <w:t>кв.м</w:t>
      </w:r>
      <w:proofErr w:type="spellEnd"/>
      <w:r>
        <w:t>. в год</w:t>
      </w:r>
    </w:p>
    <w:p w:rsidR="00571A68" w:rsidRDefault="00571A68" w:rsidP="00571A68">
      <w:pPr>
        <w:pStyle w:val="S0"/>
        <w:spacing w:line="240" w:lineRule="auto"/>
      </w:pPr>
      <w:r>
        <w:t xml:space="preserve">Суммарное количество отходов на расчетных период составит  0.8 </w:t>
      </w:r>
      <w:proofErr w:type="spellStart"/>
      <w:r>
        <w:t>тыс</w:t>
      </w:r>
      <w:proofErr w:type="gramStart"/>
      <w:r>
        <w:t>.т</w:t>
      </w:r>
      <w:proofErr w:type="gramEnd"/>
      <w:r>
        <w:t>он</w:t>
      </w:r>
      <w:proofErr w:type="spellEnd"/>
      <w:r>
        <w:t>.</w:t>
      </w:r>
    </w:p>
    <w:p w:rsidR="00571A68" w:rsidRDefault="00571A68" w:rsidP="00571A68">
      <w:pPr>
        <w:pStyle w:val="S0"/>
        <w:spacing w:line="240" w:lineRule="auto"/>
      </w:pPr>
      <w:r>
        <w:t>Для предотвращения загрязнения и разрушения почвенного покрова генеральным планом предполагается ряд мероприятий:</w:t>
      </w:r>
    </w:p>
    <w:p w:rsidR="00571A68" w:rsidRDefault="00571A68" w:rsidP="00571A68">
      <w:pPr>
        <w:pStyle w:val="S0"/>
        <w:spacing w:line="240" w:lineRule="auto"/>
      </w:pPr>
      <w:r>
        <w:t xml:space="preserve">- </w:t>
      </w:r>
      <w:proofErr w:type="gramStart"/>
      <w:r>
        <w:t>контроль за</w:t>
      </w:r>
      <w:proofErr w:type="gramEnd"/>
      <w:r>
        <w:t xml:space="preserve"> качеством и своевременностью выполнения работ по рекультивации нарушенных земель;</w:t>
      </w:r>
    </w:p>
    <w:p w:rsidR="00571A68" w:rsidRDefault="00571A68" w:rsidP="00571A68">
      <w:pPr>
        <w:pStyle w:val="S0"/>
        <w:spacing w:line="240" w:lineRule="auto"/>
      </w:pPr>
      <w:r>
        <w:t>- учет и статистическое наблюдение за нарушенными землями;</w:t>
      </w:r>
    </w:p>
    <w:p w:rsidR="00571A68" w:rsidRDefault="00571A68" w:rsidP="00571A68">
      <w:pPr>
        <w:pStyle w:val="S0"/>
        <w:spacing w:line="240" w:lineRule="auto"/>
      </w:pPr>
      <w:r>
        <w:t>- организация химического и бактериологического исследования почв.</w:t>
      </w:r>
    </w:p>
    <w:p w:rsidR="00571A68" w:rsidRDefault="00571A68" w:rsidP="00571A68">
      <w:pPr>
        <w:pStyle w:val="S0"/>
        <w:spacing w:line="240" w:lineRule="auto"/>
      </w:pPr>
      <w:bookmarkStart w:id="46" w:name="_Toc142198084"/>
      <w:r>
        <w:t>Мероприятия по восстановлению и охране почв:</w:t>
      </w:r>
    </w:p>
    <w:p w:rsidR="00571A68" w:rsidRDefault="00571A68" w:rsidP="00571A68">
      <w:pPr>
        <w:pStyle w:val="S0"/>
        <w:spacing w:line="240" w:lineRule="auto"/>
      </w:pPr>
      <w:r>
        <w:t xml:space="preserve">выявление и ликвидация несанкционированных свалок, </w:t>
      </w:r>
      <w:proofErr w:type="gramStart"/>
      <w:r>
        <w:t>захламленных</w:t>
      </w:r>
      <w:proofErr w:type="gramEnd"/>
      <w:r>
        <w:t xml:space="preserve"> участков с последующей рекультивацией территории;</w:t>
      </w:r>
    </w:p>
    <w:p w:rsidR="00571A68" w:rsidRDefault="00571A68" w:rsidP="00571A68">
      <w:pPr>
        <w:pStyle w:val="S0"/>
        <w:spacing w:line="240" w:lineRule="auto"/>
      </w:pPr>
      <w:proofErr w:type="gramStart"/>
      <w:r>
        <w:t>контроль за</w:t>
      </w:r>
      <w:proofErr w:type="gramEnd"/>
      <w:r>
        <w:t xml:space="preserve"> качеством и своевременностью выполнения работ по рекультивации нарушенных земель;</w:t>
      </w:r>
    </w:p>
    <w:p w:rsidR="00571A68" w:rsidRDefault="00571A68" w:rsidP="00571A68">
      <w:pPr>
        <w:pStyle w:val="S0"/>
        <w:spacing w:line="240" w:lineRule="auto"/>
      </w:pPr>
      <w:r>
        <w:t>проведение технической рекультивации земель нарушенных при строительстве и прокладке инженерных сетей.</w:t>
      </w:r>
    </w:p>
    <w:p w:rsidR="00571A68" w:rsidRDefault="00571A68" w:rsidP="00571A68">
      <w:pPr>
        <w:pStyle w:val="S0"/>
        <w:spacing w:line="240" w:lineRule="auto"/>
        <w:jc w:val="left"/>
      </w:pPr>
      <w:bookmarkStart w:id="47" w:name="_Toc204682783"/>
      <w:bookmarkStart w:id="48" w:name="_Toc141946433"/>
      <w:bookmarkStart w:id="49" w:name="_Toc141946226"/>
      <w:bookmarkStart w:id="50" w:name="_Toc141946115"/>
      <w:bookmarkStart w:id="51" w:name="_Toc141946069"/>
      <w:bookmarkEnd w:id="46"/>
      <w:r>
        <w:t>2.5. Мероприятия по инженерной подготовке территорий</w:t>
      </w:r>
      <w:bookmarkEnd w:id="47"/>
      <w:bookmarkEnd w:id="48"/>
      <w:bookmarkEnd w:id="49"/>
      <w:bookmarkEnd w:id="50"/>
      <w:bookmarkEnd w:id="51"/>
    </w:p>
    <w:p w:rsidR="00571A68" w:rsidRDefault="00571A68" w:rsidP="00571A68">
      <w:pPr>
        <w:pStyle w:val="S0"/>
        <w:spacing w:line="240" w:lineRule="auto"/>
      </w:pPr>
      <w:r>
        <w:t>При освоении новых территорий предусмотрены мероприятия по инженерной подготовке территорий, организации поверхностного стока, сбор его, очистка и сброс в открытые водоемы. Так как жилая зона находится  на возвышенной  территории, дополнительных мероприятий по защите территорий от подтопления не требуется.</w:t>
      </w:r>
    </w:p>
    <w:p w:rsidR="00571A68" w:rsidRDefault="00571A68" w:rsidP="00571A68">
      <w:pPr>
        <w:pStyle w:val="S0"/>
        <w:spacing w:line="240" w:lineRule="auto"/>
      </w:pPr>
      <w:r>
        <w:t>При проектировании улиц учитываются требования СНиП 2.07.01-89* по созданию нормальных условий для движения транспорта, пешеходов и отвода поверхностной воды с прилегающих территорий и улично-дорожной сети.</w:t>
      </w:r>
    </w:p>
    <w:p w:rsidR="00571A68" w:rsidRDefault="00571A68" w:rsidP="00571A68">
      <w:pPr>
        <w:pStyle w:val="S0"/>
        <w:spacing w:line="240" w:lineRule="auto"/>
      </w:pPr>
      <w:r>
        <w:t xml:space="preserve">При вертикальной планировке  сохраняется сложившийся рельеф местности. Для обеспечения поверхностного стока устройство сети открытых водоотводных лотков. В местах пересечения водоотводными канавами предусмотрено устройство железобетонных водопропускных труб. По проекту необходимо предусмотреть </w:t>
      </w:r>
      <w:r>
        <w:lastRenderedPageBreak/>
        <w:t xml:space="preserve">устройство  водопропускных труб. Общая длина железобетонных лотков 2 700 м. Марку и тип лотка определяют на стадии рабочей документации. </w:t>
      </w:r>
    </w:p>
    <w:p w:rsidR="00571A68" w:rsidRDefault="00571A68" w:rsidP="00571A68">
      <w:pPr>
        <w:pStyle w:val="S0"/>
        <w:spacing w:line="240" w:lineRule="auto"/>
      </w:pPr>
      <w:r>
        <w:t xml:space="preserve">Очистка поверхностных вод предусмотрена на локальных очистных сооружениях барьерного типа. </w:t>
      </w:r>
    </w:p>
    <w:p w:rsidR="00571A68" w:rsidRDefault="00571A68" w:rsidP="00571A68">
      <w:pPr>
        <w:pStyle w:val="S0"/>
        <w:spacing w:line="240" w:lineRule="auto"/>
        <w:jc w:val="left"/>
      </w:pPr>
      <w:bookmarkStart w:id="52" w:name="_Toc204682784"/>
      <w:bookmarkStart w:id="53" w:name="_Toc144628930"/>
      <w:r>
        <w:t>2.6. Мероприятия по благоустройству, озеленению и санитарной очистке территорий</w:t>
      </w:r>
      <w:bookmarkEnd w:id="52"/>
      <w:bookmarkEnd w:id="53"/>
    </w:p>
    <w:p w:rsidR="00571A68" w:rsidRDefault="00571A68" w:rsidP="00571A68">
      <w:pPr>
        <w:pStyle w:val="S0"/>
        <w:spacing w:line="240" w:lineRule="auto"/>
      </w:pPr>
      <w:bookmarkStart w:id="54" w:name="_Toc144628931"/>
      <w:bookmarkStart w:id="55" w:name="_Toc204682785"/>
      <w:r>
        <w:t xml:space="preserve">2.6.1. Мероприятия по озеленению </w:t>
      </w:r>
      <w:bookmarkEnd w:id="54"/>
      <w:r>
        <w:t>территории</w:t>
      </w:r>
      <w:bookmarkEnd w:id="55"/>
    </w:p>
    <w:p w:rsidR="00571A68" w:rsidRDefault="00571A68" w:rsidP="00571A68">
      <w:pPr>
        <w:pStyle w:val="S0"/>
        <w:spacing w:line="240" w:lineRule="auto"/>
      </w:pPr>
      <w:r>
        <w:t>Мероприятия по озеленению территории:</w:t>
      </w:r>
    </w:p>
    <w:p w:rsidR="00571A68" w:rsidRDefault="00571A68" w:rsidP="00571A68">
      <w:pPr>
        <w:pStyle w:val="S0"/>
        <w:spacing w:line="240" w:lineRule="auto"/>
      </w:pPr>
      <w:r>
        <w:t>восстановление растительного покрова в местах сильной деградации зеленых насаждений;</w:t>
      </w:r>
    </w:p>
    <w:p w:rsidR="00571A68" w:rsidRDefault="00571A68" w:rsidP="00571A68">
      <w:pPr>
        <w:pStyle w:val="S0"/>
        <w:spacing w:line="240" w:lineRule="auto"/>
      </w:pPr>
      <w:r>
        <w:t>целенаправленное формирование крупных насаждений, устойчивых к влиянию антропогенных и техногенных факторов;</w:t>
      </w:r>
    </w:p>
    <w:p w:rsidR="00571A68" w:rsidRDefault="00571A68" w:rsidP="00571A68">
      <w:pPr>
        <w:pStyle w:val="S0"/>
        <w:spacing w:line="240" w:lineRule="auto"/>
      </w:pPr>
      <w:r>
        <w:t>посадка газонов на площадях, не занятых дорожным покрытием, для предотвращения образования пылящих поверхностей;</w:t>
      </w:r>
    </w:p>
    <w:p w:rsidR="00571A68" w:rsidRDefault="00571A68" w:rsidP="00571A68">
      <w:pPr>
        <w:pStyle w:val="S0"/>
        <w:spacing w:line="240" w:lineRule="auto"/>
      </w:pPr>
      <w:r>
        <w:t>организация дополнительных озелененных площадей за счет озеленения санитарно-защитных зон.</w:t>
      </w:r>
    </w:p>
    <w:p w:rsidR="00571A68" w:rsidRDefault="00571A68" w:rsidP="00571A68">
      <w:pPr>
        <w:pStyle w:val="S0"/>
        <w:spacing w:line="240" w:lineRule="auto"/>
      </w:pPr>
      <w:bookmarkStart w:id="56" w:name="_Toc204682786"/>
      <w:r>
        <w:t>2.6.2. Мероприятия по санитарной очистке территории</w:t>
      </w:r>
      <w:bookmarkEnd w:id="56"/>
    </w:p>
    <w:p w:rsidR="00571A68" w:rsidRDefault="00571A68" w:rsidP="00571A68">
      <w:pPr>
        <w:pStyle w:val="S0"/>
        <w:spacing w:line="240" w:lineRule="auto"/>
      </w:pPr>
      <w:r>
        <w:t>Основными положениями организации системы санитарной очистки являются:</w:t>
      </w:r>
    </w:p>
    <w:p w:rsidR="00571A68" w:rsidRDefault="00571A68" w:rsidP="00571A68">
      <w:pPr>
        <w:pStyle w:val="S0"/>
        <w:spacing w:line="240" w:lineRule="auto"/>
      </w:pPr>
      <w:r>
        <w:t>сбор, транспортировка, обезвреживание и утилизация всех видов отходов;</w:t>
      </w:r>
    </w:p>
    <w:p w:rsidR="00571A68" w:rsidRDefault="00571A68" w:rsidP="00571A68">
      <w:pPr>
        <w:pStyle w:val="S0"/>
        <w:spacing w:line="240" w:lineRule="auto"/>
      </w:pPr>
      <w:r>
        <w:t>организация сбора и удаление вторичного сырья;</w:t>
      </w:r>
    </w:p>
    <w:p w:rsidR="00571A68" w:rsidRDefault="00571A68" w:rsidP="00571A68">
      <w:pPr>
        <w:pStyle w:val="S0"/>
        <w:spacing w:line="240" w:lineRule="auto"/>
      </w:pPr>
      <w:r>
        <w:t>сбор, удаление и обезвреживание специфических отходов;</w:t>
      </w:r>
    </w:p>
    <w:p w:rsidR="00571A68" w:rsidRDefault="00571A68" w:rsidP="00571A68">
      <w:pPr>
        <w:pStyle w:val="S0"/>
        <w:spacing w:line="240" w:lineRule="auto"/>
      </w:pPr>
      <w:r>
        <w:t>уборка территорий от мусора, смета, снега, мытье усовершенствованных покрытий.</w:t>
      </w:r>
    </w:p>
    <w:p w:rsidR="00571A68" w:rsidRDefault="00571A68" w:rsidP="00571A68">
      <w:pPr>
        <w:pStyle w:val="S0"/>
        <w:spacing w:line="240" w:lineRule="auto"/>
      </w:pPr>
      <w:r>
        <w:t xml:space="preserve">Организация системы санитарной очистки надлежащим образом чрезвычайно актуальна вследствие гидравлической зависимости водных систем от состояния территории селитебной и промышленной зон, от состояния почвы.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1A68" w:rsidRDefault="00571A68" w:rsidP="00571A68">
      <w:pPr>
        <w:pStyle w:val="S0"/>
        <w:spacing w:line="240" w:lineRule="auto"/>
      </w:pPr>
      <w:bookmarkStart w:id="57" w:name="_Toc204682787"/>
      <w:bookmarkStart w:id="58" w:name="_Toc144628933"/>
      <w:bookmarkStart w:id="59" w:name="_Toc141946432"/>
      <w:bookmarkStart w:id="60" w:name="_Toc141946225"/>
      <w:bookmarkStart w:id="61" w:name="_Toc141946114"/>
      <w:bookmarkStart w:id="62" w:name="_Toc141946068"/>
      <w:r>
        <w:t>2.7. Мероприятия по предотвращению чрезвычайных ситуаций природного и техногенного характера</w:t>
      </w:r>
      <w:bookmarkEnd w:id="57"/>
      <w:bookmarkEnd w:id="58"/>
      <w:bookmarkEnd w:id="59"/>
      <w:bookmarkEnd w:id="60"/>
      <w:bookmarkEnd w:id="61"/>
      <w:bookmarkEnd w:id="62"/>
    </w:p>
    <w:p w:rsidR="00571A68" w:rsidRDefault="00571A68" w:rsidP="00571A68">
      <w:pPr>
        <w:pStyle w:val="S0"/>
        <w:spacing w:line="240" w:lineRule="auto"/>
      </w:pPr>
      <w:bookmarkStart w:id="63" w:name="_Toc204682788"/>
      <w:r>
        <w:t>2.7.1. Мероприятия по предотвращению чрезвычайных ситуаций техногенного характера</w:t>
      </w:r>
      <w:bookmarkEnd w:id="63"/>
    </w:p>
    <w:p w:rsidR="00571A68" w:rsidRDefault="00571A68" w:rsidP="00571A68">
      <w:pPr>
        <w:pStyle w:val="S0"/>
        <w:spacing w:line="240" w:lineRule="auto"/>
      </w:pPr>
      <w:r>
        <w:t>Разработка раздела "Инженерно-технические мероприятия гражданской обороны. Мероприятия по предупреждению чрезвычайных ситуаций" в составе всех видов градостроительной документации предусматривается в соответствии с требованиями Градостроительного кодекса Российской Федерации, а также предусмотрен СП 11-112-2001 “Порядок разработки и состав раздела "Инженерно-технические мероприятия гражданской обороны. Мероприятия по предупреждению чрезвычайных ситуаций" градостроительной документации для территорий городских и сельских поселений, других муниципальных образований“.</w:t>
      </w:r>
    </w:p>
    <w:p w:rsidR="00571A68" w:rsidRDefault="00571A68" w:rsidP="00571A68">
      <w:pPr>
        <w:pStyle w:val="S0"/>
        <w:spacing w:line="240" w:lineRule="auto"/>
      </w:pPr>
      <w:r>
        <w:t>При осуществлении градостроительной деятельности проектные решения раздела "ИТМ ГОЧС" должны обеспечивать защиту территорий и поселений и снижение материального ущерба от воздействия ЧС техногенного и природного характера, от опасностей, возникающих при ведении военных действий или вследствие этих действий, а также при диверсиях и террористических актах.</w:t>
      </w:r>
    </w:p>
    <w:p w:rsidR="00571A68" w:rsidRDefault="00571A68" w:rsidP="00571A68">
      <w:pPr>
        <w:pStyle w:val="S0"/>
        <w:spacing w:line="240" w:lineRule="auto"/>
      </w:pPr>
      <w:r>
        <w:t>Настоящий раздел разработан в соответствии с нормами СНиП 2.01.51-90. Проектом предусмотрены мероприятия по обеспечению жизнедеятельности поселка в особых случаях. Мероприятия разработаны в объеме, обосновывающем планировочные решения, и требуют детализации на последующих стадиях проектирования.</w:t>
      </w:r>
    </w:p>
    <w:p w:rsidR="00571A68" w:rsidRDefault="00571A68" w:rsidP="00571A68">
      <w:pPr>
        <w:pStyle w:val="S0"/>
        <w:spacing w:line="240" w:lineRule="auto"/>
      </w:pPr>
      <w:r>
        <w:t>2.7.2. Обоснование предложений по повышению устойчивости функционирования поселения, защите его населения и территорий в военное время и в ЧС техногенного и природного характера.</w:t>
      </w:r>
    </w:p>
    <w:p w:rsidR="00571A68" w:rsidRDefault="00571A68" w:rsidP="00571A68">
      <w:pPr>
        <w:pStyle w:val="S0"/>
        <w:spacing w:line="240" w:lineRule="auto"/>
      </w:pPr>
      <w:r>
        <w:lastRenderedPageBreak/>
        <w:t xml:space="preserve">Отсутствие данных об учетных ЧС не позволяет сделать вывод о </w:t>
      </w:r>
      <w:r>
        <w:rPr>
          <w:color w:val="000000"/>
        </w:rPr>
        <w:t>наличии</w:t>
      </w:r>
      <w:r>
        <w:t xml:space="preserve"> на территории поселка зон жесткого контроля, а также зон приемлемого риска. </w:t>
      </w:r>
    </w:p>
    <w:p w:rsidR="00571A68" w:rsidRDefault="00571A68" w:rsidP="00571A68">
      <w:pPr>
        <w:pStyle w:val="S0"/>
        <w:spacing w:line="240" w:lineRule="auto"/>
      </w:pPr>
      <w:r>
        <w:t>На территории ЛПДС ОАО «</w:t>
      </w:r>
      <w:proofErr w:type="spellStart"/>
      <w:r>
        <w:t>Сибнефтепродукт</w:t>
      </w:r>
      <w:proofErr w:type="spellEnd"/>
      <w:r>
        <w:t xml:space="preserve">» НУМН размещаются хранилище нефтепродуктов. Данные о количестве накапливаемых нефтепродуктов - отсутствует. Величина зоны возможных разрушений при ЧС - неизвестна. </w:t>
      </w:r>
    </w:p>
    <w:p w:rsidR="00571A68" w:rsidRDefault="00571A68" w:rsidP="00571A68">
      <w:pPr>
        <w:pStyle w:val="S0"/>
        <w:spacing w:line="240" w:lineRule="auto"/>
      </w:pPr>
      <w:r>
        <w:t>Во избежание осуществления на потенциально опасных объектов террористических актов, необходимо обеспечить охрану объектов, и ограничить доступ посторонних на территорию предприятий.</w:t>
      </w:r>
    </w:p>
    <w:p w:rsidR="00571A68" w:rsidRDefault="00571A68" w:rsidP="00571A68">
      <w:pPr>
        <w:pStyle w:val="S0"/>
        <w:spacing w:line="240" w:lineRule="auto"/>
      </w:pPr>
      <w:r>
        <w:t xml:space="preserve">При проектировании </w:t>
      </w:r>
      <w:proofErr w:type="spellStart"/>
      <w:r>
        <w:t>внутрипоселковой</w:t>
      </w:r>
      <w:proofErr w:type="spellEnd"/>
      <w:r>
        <w:t xml:space="preserve"> улично-дорожной сети предусмотрена возможность обеспечения надежного сообщения между отдельными жилыми и промышленными объектами, свободный проезд к магистралям устойчивого функционирования, также проектом предусмотрено дублирование путей сообщения по территории поселка.</w:t>
      </w:r>
    </w:p>
    <w:p w:rsidR="00571A68" w:rsidRDefault="00571A68" w:rsidP="00571A68">
      <w:pPr>
        <w:pStyle w:val="S0"/>
        <w:spacing w:line="240" w:lineRule="auto"/>
      </w:pPr>
      <w:r>
        <w:t xml:space="preserve">Водоснабжение. Для обеспечения населения водой на территории города расположены 5 подземных водозаборов. Для гарантийного обеспечения питьевой водой населения в случае выхода из строя головных сооружений предусмотрены резервуары питьевой воды с запасом не менее 3-х суток по норме не менее 10 л в сутки на одного человека. Резервуары расположены на территории водопроводных сооружений и оборудованы герметическими люками и приспособлениями для раздачи воды в передвижную тару. При проектировании новых и реконструкции действующих водозаборных скважин, предусмотренных к использованию в военное время, следует применять погружные насосы (сблокированные с электродвигателями). </w:t>
      </w:r>
    </w:p>
    <w:p w:rsidR="00571A68" w:rsidRDefault="00571A68" w:rsidP="00571A68">
      <w:pPr>
        <w:pStyle w:val="S0"/>
        <w:spacing w:line="240" w:lineRule="auto"/>
      </w:pPr>
      <w:r>
        <w:t xml:space="preserve">На территории поселка размещены гидранты на не заваливаемых площадях, с возможностью подъезда к ним спецтехники. Кроме того, забор воды на нужды пожаротушения возможен из протоки Горной пожарными машинами. </w:t>
      </w:r>
    </w:p>
    <w:p w:rsidR="00571A68" w:rsidRDefault="00571A68" w:rsidP="00571A68">
      <w:pPr>
        <w:pStyle w:val="S0"/>
        <w:spacing w:line="240" w:lineRule="auto"/>
      </w:pPr>
      <w:r>
        <w:t xml:space="preserve">Электроснабжение Схема электрических сетей энергосистем предусматривает возможность автоматического деления энергосистемы на сбалансированные независимо работающие части. </w:t>
      </w:r>
    </w:p>
    <w:p w:rsidR="00571A68" w:rsidRDefault="00571A68" w:rsidP="00571A68">
      <w:pPr>
        <w:pStyle w:val="S0"/>
        <w:spacing w:line="240" w:lineRule="auto"/>
      </w:pPr>
      <w:r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:rsidR="00571A68" w:rsidRDefault="00571A68" w:rsidP="00571A68">
      <w:pPr>
        <w:pStyle w:val="S0"/>
        <w:spacing w:line="240" w:lineRule="auto"/>
      </w:pPr>
      <w:proofErr w:type="gramStart"/>
      <w:r>
        <w:t>Электроснабжение перекачивающих насосных и компрессорных станций магистральных трубопроводов (газопроводов, нефтепроводов, нефтепродуктопроводов) осуществляться от источников электроснабжения и электроподстанций,  расположенных за пределами зон возможных сильных разрушении, с установкой в необходимых случаях на них автономных резервных источников.</w:t>
      </w:r>
      <w:proofErr w:type="gramEnd"/>
    </w:p>
    <w:p w:rsidR="00EF5AA9" w:rsidRDefault="00EF5AA9"/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p w:rsidR="00571A68" w:rsidRPr="00571A68" w:rsidRDefault="00571A68" w:rsidP="00571A6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64" w:name="_Toc101611956"/>
      <w:r w:rsidRPr="00571A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10. Основные техник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</w:t>
      </w:r>
      <w:r w:rsidRPr="00571A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-экономические показатели проекта</w:t>
      </w:r>
      <w:bookmarkEnd w:id="64"/>
    </w:p>
    <w:tbl>
      <w:tblPr>
        <w:tblStyle w:val="a6"/>
        <w:tblW w:w="9571" w:type="dxa"/>
        <w:tblLayout w:type="fixed"/>
        <w:tblLook w:val="01E0" w:firstRow="1" w:lastRow="1" w:firstColumn="1" w:lastColumn="1" w:noHBand="0" w:noVBand="0"/>
      </w:tblPr>
      <w:tblGrid>
        <w:gridCol w:w="776"/>
        <w:gridCol w:w="2003"/>
        <w:gridCol w:w="321"/>
        <w:gridCol w:w="1683"/>
        <w:gridCol w:w="935"/>
        <w:gridCol w:w="508"/>
        <w:gridCol w:w="1788"/>
        <w:gridCol w:w="1557"/>
      </w:tblGrid>
      <w:tr w:rsidR="00571A68" w:rsidRPr="00571A68" w:rsidTr="00301832">
        <w:tc>
          <w:tcPr>
            <w:tcW w:w="776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571A68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571A68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4007" w:type="dxa"/>
            <w:gridSpan w:val="3"/>
            <w:vAlign w:val="center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571A68">
              <w:rPr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3" w:type="dxa"/>
            <w:gridSpan w:val="2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571A68"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788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571A68">
              <w:rPr>
                <w:color w:val="000000"/>
                <w:spacing w:val="8"/>
                <w:sz w:val="24"/>
                <w:szCs w:val="24"/>
              </w:rPr>
              <w:t>Современ</w:t>
            </w:r>
            <w:r w:rsidRPr="00571A68">
              <w:rPr>
                <w:color w:val="000000"/>
                <w:spacing w:val="8"/>
                <w:sz w:val="24"/>
                <w:szCs w:val="24"/>
              </w:rPr>
              <w:softHyphen/>
              <w:t>ное сос</w:t>
            </w:r>
            <w:r w:rsidRPr="00571A68">
              <w:rPr>
                <w:color w:val="000000"/>
                <w:spacing w:val="8"/>
                <w:sz w:val="24"/>
                <w:szCs w:val="24"/>
              </w:rPr>
              <w:softHyphen/>
              <w:t>тояние</w:t>
            </w:r>
          </w:p>
        </w:tc>
        <w:tc>
          <w:tcPr>
            <w:tcW w:w="1557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</w:rPr>
            </w:pPr>
            <w:r w:rsidRPr="00571A68">
              <w:rPr>
                <w:color w:val="000000"/>
                <w:spacing w:val="8"/>
                <w:sz w:val="24"/>
                <w:szCs w:val="24"/>
              </w:rPr>
              <w:t>Расчетный срок</w:t>
            </w:r>
          </w:p>
        </w:tc>
      </w:tr>
      <w:tr w:rsidR="00571A68" w:rsidRPr="00571A68" w:rsidTr="00301832">
        <w:trPr>
          <w:trHeight w:val="410"/>
        </w:trPr>
        <w:tc>
          <w:tcPr>
            <w:tcW w:w="776" w:type="dxa"/>
            <w:vMerge w:val="restart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  <w:lang w:val="en-US"/>
              </w:rPr>
            </w:pPr>
            <w:r w:rsidRPr="00571A68">
              <w:rPr>
                <w:b/>
                <w:spacing w:val="-2"/>
                <w:sz w:val="24"/>
                <w:szCs w:val="24"/>
                <w:lang w:val="en-US"/>
              </w:rPr>
              <w:t>I</w:t>
            </w:r>
          </w:p>
        </w:tc>
        <w:tc>
          <w:tcPr>
            <w:tcW w:w="4007" w:type="dxa"/>
            <w:gridSpan w:val="3"/>
            <w:vMerge w:val="restart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ТЕРРИТОРИЯ</w:t>
            </w:r>
          </w:p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1443" w:type="dxa"/>
            <w:gridSpan w:val="2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га</w:t>
            </w:r>
          </w:p>
        </w:tc>
        <w:tc>
          <w:tcPr>
            <w:tcW w:w="1788" w:type="dxa"/>
            <w:shd w:val="clear" w:color="auto" w:fill="auto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126,58</w:t>
            </w:r>
          </w:p>
        </w:tc>
        <w:tc>
          <w:tcPr>
            <w:tcW w:w="1557" w:type="dxa"/>
            <w:shd w:val="clear" w:color="auto" w:fill="auto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126,58</w:t>
            </w:r>
          </w:p>
        </w:tc>
      </w:tr>
      <w:tr w:rsidR="00571A68" w:rsidRPr="00571A68" w:rsidTr="00301832">
        <w:trPr>
          <w:trHeight w:val="202"/>
        </w:trPr>
        <w:tc>
          <w:tcPr>
            <w:tcW w:w="776" w:type="dxa"/>
            <w:vMerge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4007" w:type="dxa"/>
            <w:gridSpan w:val="3"/>
            <w:vMerge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gridSpan w:val="2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%</w:t>
            </w:r>
          </w:p>
        </w:tc>
        <w:tc>
          <w:tcPr>
            <w:tcW w:w="1788" w:type="dxa"/>
            <w:shd w:val="clear" w:color="auto" w:fill="auto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100,0</w:t>
            </w:r>
          </w:p>
        </w:tc>
        <w:tc>
          <w:tcPr>
            <w:tcW w:w="1557" w:type="dxa"/>
            <w:shd w:val="clear" w:color="auto" w:fill="auto"/>
          </w:tcPr>
          <w:p w:rsidR="00571A68" w:rsidRPr="00571A68" w:rsidRDefault="00571A68" w:rsidP="00571A68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</w:rPr>
            </w:pPr>
            <w:r w:rsidRPr="00571A68">
              <w:rPr>
                <w:b/>
                <w:spacing w:val="-2"/>
                <w:sz w:val="24"/>
                <w:szCs w:val="24"/>
              </w:rPr>
              <w:t>100,0</w:t>
            </w:r>
          </w:p>
        </w:tc>
      </w:tr>
      <w:tr w:rsidR="00571A68" w:rsidRPr="00571A68" w:rsidTr="00301832">
        <w:tc>
          <w:tcPr>
            <w:tcW w:w="776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4007" w:type="dxa"/>
            <w:gridSpan w:val="3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</w:rPr>
            </w:pPr>
            <w:r w:rsidRPr="00571A68">
              <w:rPr>
                <w:spacing w:val="-2"/>
              </w:rPr>
              <w:t>в том числе</w:t>
            </w:r>
          </w:p>
        </w:tc>
        <w:tc>
          <w:tcPr>
            <w:tcW w:w="1443" w:type="dxa"/>
            <w:gridSpan w:val="2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1788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</w:rPr>
            </w:pPr>
          </w:p>
        </w:tc>
        <w:tc>
          <w:tcPr>
            <w:tcW w:w="1557" w:type="dxa"/>
          </w:tcPr>
          <w:p w:rsidR="00571A68" w:rsidRPr="00571A68" w:rsidRDefault="00571A68" w:rsidP="00571A68">
            <w:pPr>
              <w:spacing w:line="360" w:lineRule="auto"/>
              <w:jc w:val="both"/>
              <w:rPr>
                <w:spacing w:val="-2"/>
              </w:rPr>
            </w:pPr>
          </w:p>
        </w:tc>
      </w:tr>
      <w:tr w:rsidR="00571A68" w:rsidRPr="00663829" w:rsidTr="00301832">
        <w:tc>
          <w:tcPr>
            <w:tcW w:w="776" w:type="dxa"/>
          </w:tcPr>
          <w:p w:rsidR="00571A68" w:rsidRPr="00663829" w:rsidRDefault="00571A68" w:rsidP="00301832">
            <w:pPr>
              <w:pStyle w:val="a7"/>
              <w:rPr>
                <w:b/>
                <w:lang w:val="en-US"/>
              </w:rPr>
            </w:pPr>
            <w:r w:rsidRPr="00663829">
              <w:rPr>
                <w:b/>
                <w:lang w:val="en-US"/>
              </w:rPr>
              <w:t>II.</w:t>
            </w:r>
          </w:p>
        </w:tc>
        <w:tc>
          <w:tcPr>
            <w:tcW w:w="4007" w:type="dxa"/>
            <w:gridSpan w:val="3"/>
          </w:tcPr>
          <w:p w:rsidR="00571A68" w:rsidRPr="00663829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Население (постоянное)</w:t>
            </w:r>
          </w:p>
        </w:tc>
        <w:tc>
          <w:tcPr>
            <w:tcW w:w="1443" w:type="dxa"/>
            <w:gridSpan w:val="2"/>
          </w:tcPr>
          <w:p w:rsidR="00571A68" w:rsidRPr="00663829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чел.</w:t>
            </w:r>
          </w:p>
        </w:tc>
        <w:tc>
          <w:tcPr>
            <w:tcW w:w="1788" w:type="dxa"/>
          </w:tcPr>
          <w:p w:rsidR="00571A68" w:rsidRPr="00663829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1560</w:t>
            </w:r>
          </w:p>
        </w:tc>
        <w:tc>
          <w:tcPr>
            <w:tcW w:w="1557" w:type="dxa"/>
          </w:tcPr>
          <w:p w:rsidR="00571A68" w:rsidRPr="00663829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571A68" w:rsidRPr="006A1D54" w:rsidTr="00301832">
        <w:tc>
          <w:tcPr>
            <w:tcW w:w="776" w:type="dxa"/>
          </w:tcPr>
          <w:p w:rsidR="00571A68" w:rsidRPr="00B83F4C" w:rsidRDefault="00571A68" w:rsidP="00301832">
            <w:pPr>
              <w:pStyle w:val="a7"/>
            </w:pPr>
          </w:p>
        </w:tc>
        <w:tc>
          <w:tcPr>
            <w:tcW w:w="4007" w:type="dxa"/>
            <w:gridSpan w:val="3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  <w:r w:rsidRPr="006A1D54">
              <w:rPr>
                <w:b/>
              </w:rPr>
              <w:t>Плотность населения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 xml:space="preserve">чел./ </w:t>
            </w:r>
            <w:proofErr w:type="gramStart"/>
            <w:r w:rsidRPr="006A1D54">
              <w:rPr>
                <w:b/>
              </w:rPr>
              <w:t>га</w:t>
            </w:r>
            <w:proofErr w:type="gramEnd"/>
            <w:r w:rsidRPr="006A1D54">
              <w:rPr>
                <w:b/>
              </w:rPr>
              <w:t xml:space="preserve"> </w:t>
            </w:r>
          </w:p>
        </w:tc>
        <w:tc>
          <w:tcPr>
            <w:tcW w:w="1788" w:type="dxa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7" w:type="dxa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 w:rsidRPr="00F90092">
              <w:rPr>
                <w:sz w:val="20"/>
                <w:szCs w:val="20"/>
              </w:rPr>
              <w:t xml:space="preserve">Воспроизводство </w:t>
            </w:r>
            <w:r>
              <w:rPr>
                <w:sz w:val="20"/>
                <w:szCs w:val="20"/>
              </w:rPr>
              <w:t>общей численности населения (</w:t>
            </w:r>
            <w:r>
              <w:rPr>
                <w:sz w:val="20"/>
                <w:szCs w:val="20"/>
                <w:lang w:val="en-US"/>
              </w:rPr>
              <w:t>E</w:t>
            </w:r>
            <w:r w:rsidRPr="00F90092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  <w:lang w:val="en-US"/>
              </w:rPr>
              <w:t>M</w:t>
            </w:r>
            <w:r w:rsidRPr="00F90092">
              <w:rPr>
                <w:sz w:val="20"/>
                <w:szCs w:val="20"/>
              </w:rPr>
              <w:t>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Естественное движение населения</w:t>
            </w:r>
          </w:p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E</w:t>
            </w:r>
            <w:r w:rsidRPr="00F9009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N</w:t>
            </w:r>
            <w:r w:rsidRPr="00F9009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</w:t>
            </w:r>
            <w:r w:rsidRPr="00F900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прирост/убыль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родившихся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N)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число </w:t>
            </w:r>
            <w:proofErr w:type="gramStart"/>
            <w:r>
              <w:rPr>
                <w:sz w:val="20"/>
                <w:szCs w:val="20"/>
              </w:rPr>
              <w:t>умерших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M)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Механическое движение населения</w:t>
            </w:r>
          </w:p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M</w:t>
            </w:r>
            <w:r w:rsidRPr="00F90092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П-В) приток/отток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3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(П)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выбыло (В)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структура населения</w:t>
            </w:r>
          </w:p>
        </w:tc>
        <w:tc>
          <w:tcPr>
            <w:tcW w:w="1443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F90092" w:rsidTr="00301832">
        <w:tc>
          <w:tcPr>
            <w:tcW w:w="776" w:type="dxa"/>
            <w:vMerge w:val="restart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до 15 лет</w:t>
            </w: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309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71A68" w:rsidRPr="00F33D90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% от </w:t>
            </w:r>
            <w:r>
              <w:rPr>
                <w:sz w:val="20"/>
                <w:szCs w:val="20"/>
                <w:lang w:val="en-US"/>
              </w:rPr>
              <w:t>[II]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 w:rsidRPr="00243D25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,</w:t>
            </w:r>
            <w:r w:rsidRPr="00243D25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71A68" w:rsidRPr="00F90092" w:rsidTr="00301832">
        <w:tc>
          <w:tcPr>
            <w:tcW w:w="776" w:type="dxa"/>
            <w:vMerge w:val="restart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в трудоспособном возрасте</w:t>
            </w: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 (16-59)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590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 (16-54)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556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1146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71A68" w:rsidRPr="00243D25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</w:t>
            </w:r>
            <w:r w:rsidRPr="00243D25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  <w:lang w:val="en-US"/>
              </w:rPr>
              <w:t>II</w:t>
            </w:r>
            <w:r w:rsidRPr="00243D25">
              <w:rPr>
                <w:sz w:val="20"/>
                <w:szCs w:val="20"/>
              </w:rPr>
              <w:t>]</w:t>
            </w: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71A68" w:rsidRPr="00F90092" w:rsidTr="00301832">
        <w:tc>
          <w:tcPr>
            <w:tcW w:w="776" w:type="dxa"/>
            <w:vMerge w:val="restart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</w:p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(старше 60 лет)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</w:p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(старше 55 лет)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43" w:type="dxa"/>
            <w:gridSpan w:val="2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F90092" w:rsidTr="00301832">
        <w:tc>
          <w:tcPr>
            <w:tcW w:w="776" w:type="dxa"/>
            <w:vMerge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43" w:type="dxa"/>
            <w:gridSpan w:val="2"/>
          </w:tcPr>
          <w:p w:rsidR="00571A68" w:rsidRPr="00F33D90" w:rsidRDefault="00571A68" w:rsidP="00301832">
            <w:pPr>
              <w:pStyle w:val="a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% от </w:t>
            </w:r>
            <w:r>
              <w:rPr>
                <w:sz w:val="20"/>
                <w:szCs w:val="20"/>
                <w:lang w:val="en-US"/>
              </w:rPr>
              <w:t>[II]</w:t>
            </w:r>
          </w:p>
        </w:tc>
        <w:tc>
          <w:tcPr>
            <w:tcW w:w="1788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557" w:type="dxa"/>
          </w:tcPr>
          <w:p w:rsidR="00571A68" w:rsidRPr="00F9009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F90092" w:rsidRDefault="00571A68" w:rsidP="00301832">
            <w:pPr>
              <w:pStyle w:val="a7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F90092">
              <w:rPr>
                <w:b/>
              </w:rPr>
              <w:t>.</w:t>
            </w:r>
          </w:p>
        </w:tc>
        <w:tc>
          <w:tcPr>
            <w:tcW w:w="4007" w:type="dxa"/>
            <w:gridSpan w:val="3"/>
          </w:tcPr>
          <w:p w:rsidR="00571A68" w:rsidRPr="00D90A21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Жилищный фонд.</w:t>
            </w:r>
          </w:p>
        </w:tc>
        <w:tc>
          <w:tcPr>
            <w:tcW w:w="1443" w:type="dxa"/>
            <w:gridSpan w:val="2"/>
          </w:tcPr>
          <w:p w:rsidR="00571A68" w:rsidRPr="00C73B8A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Общий объем жилищного фонда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31614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35345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4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в том числе в общем объеме жилищного фонда</w:t>
            </w:r>
          </w:p>
        </w:tc>
        <w:tc>
          <w:tcPr>
            <w:tcW w:w="508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  <w:r>
              <w:rPr>
                <w:sz w:val="20"/>
                <w:szCs w:val="20"/>
              </w:rPr>
              <w:t xml:space="preserve"> 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2403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от общего о</w:t>
            </w:r>
            <w:r w:rsidRPr="00EA1D1D">
              <w:rPr>
                <w:sz w:val="20"/>
                <w:szCs w:val="20"/>
              </w:rPr>
              <w:t>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2-х кв.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</w:pPr>
            <w:r w:rsidRPr="00441F55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</w:pPr>
            <w:r w:rsidRPr="00441F55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17787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14646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</w:pPr>
            <w:r w:rsidRPr="00441F55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10683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14093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с офисом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</w:pPr>
            <w:r w:rsidRPr="00441F55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571A68" w:rsidRPr="00E95027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Общий объем убыли жилищного фонда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7" w:type="dxa"/>
          </w:tcPr>
          <w:p w:rsidR="00571A68" w:rsidRPr="00E95027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2A266F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6633</w:t>
            </w:r>
          </w:p>
        </w:tc>
        <w:tc>
          <w:tcPr>
            <w:tcW w:w="1557" w:type="dxa"/>
          </w:tcPr>
          <w:p w:rsidR="00571A68" w:rsidRPr="002A266F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2A266F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557" w:type="dxa"/>
          </w:tcPr>
          <w:p w:rsidR="00571A68" w:rsidRPr="002A266F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ED1112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4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общем объеме убыли жилищного фонда</w:t>
            </w:r>
          </w:p>
        </w:tc>
        <w:tc>
          <w:tcPr>
            <w:tcW w:w="508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ED1112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ED1112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7" w:type="dxa"/>
          </w:tcPr>
          <w:p w:rsidR="00571A68" w:rsidRPr="00ED111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ED1112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</w:tc>
        <w:tc>
          <w:tcPr>
            <w:tcW w:w="1557" w:type="dxa"/>
          </w:tcPr>
          <w:p w:rsidR="00571A68" w:rsidRPr="00ED111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ED1112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557" w:type="dxa"/>
          </w:tcPr>
          <w:p w:rsidR="00571A68" w:rsidRPr="00ED1112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E95027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Существующий сохраняемый жилищный фонд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</w:tcPr>
          <w:p w:rsidR="00571A68" w:rsidRPr="00E95027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2A266F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24981</w:t>
            </w:r>
          </w:p>
        </w:tc>
        <w:tc>
          <w:tcPr>
            <w:tcW w:w="1557" w:type="dxa"/>
          </w:tcPr>
          <w:p w:rsidR="00571A68" w:rsidRPr="002A266F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2A266F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557" w:type="dxa"/>
          </w:tcPr>
          <w:p w:rsidR="00571A68" w:rsidRPr="002A266F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Общий объем нового жилищного строительства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10364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942" w:type="dxa"/>
            <w:gridSpan w:val="4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в том числе из общего объема нового жилищного строительства</w:t>
            </w:r>
          </w:p>
        </w:tc>
        <w:tc>
          <w:tcPr>
            <w:tcW w:w="508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1533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нового жилищного строительства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2-х кв. жилой дом 1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нового жилищного строительства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нового жилищного строительства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3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нового жилищного строительства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с офисом 2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 xml:space="preserve">кв. м. общей площади </w:t>
            </w:r>
            <w:r>
              <w:rPr>
                <w:sz w:val="20"/>
                <w:szCs w:val="20"/>
              </w:rPr>
              <w:t>зданий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объема нового жилищного строительства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Обеспеченность жилищного фонда</w:t>
            </w:r>
          </w:p>
        </w:tc>
        <w:tc>
          <w:tcPr>
            <w:tcW w:w="1443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канализацией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электроэнергией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газом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теплом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324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телефонной связью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% от общего жилищного фонда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A109F8" w:rsidRDefault="00571A68" w:rsidP="00301832">
            <w:pPr>
              <w:pStyle w:val="a7"/>
              <w:rPr>
                <w:b/>
              </w:rPr>
            </w:pPr>
            <w:r w:rsidRPr="00A109F8">
              <w:rPr>
                <w:b/>
              </w:rPr>
              <w:t>Средняя обеспеченность населения</w:t>
            </w:r>
          </w:p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A109F8">
              <w:rPr>
                <w:b/>
              </w:rPr>
              <w:t>общей площадью квартир</w:t>
            </w:r>
          </w:p>
        </w:tc>
        <w:tc>
          <w:tcPr>
            <w:tcW w:w="1443" w:type="dxa"/>
            <w:gridSpan w:val="2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/ чел.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3F73F3" w:rsidRDefault="00571A68" w:rsidP="00301832">
            <w:pPr>
              <w:pStyle w:val="a7"/>
              <w:rPr>
                <w:b/>
                <w:lang w:val="en-US"/>
              </w:rPr>
            </w:pPr>
            <w:r w:rsidRPr="003F73F3">
              <w:rPr>
                <w:b/>
                <w:lang w:val="en-US"/>
              </w:rPr>
              <w:lastRenderedPageBreak/>
              <w:t>IV.</w:t>
            </w: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b/>
              </w:rPr>
            </w:pPr>
            <w:r w:rsidRPr="003F73F3">
              <w:rPr>
                <w:b/>
              </w:rPr>
              <w:t>Объекты соцкультбыта.</w:t>
            </w:r>
          </w:p>
          <w:p w:rsidR="00571A68" w:rsidRPr="003F73F3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443" w:type="dxa"/>
            <w:gridSpan w:val="2"/>
          </w:tcPr>
          <w:p w:rsidR="00571A68" w:rsidRPr="003F73F3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</w:tcPr>
          <w:p w:rsidR="00571A68" w:rsidRPr="00C825CA" w:rsidRDefault="00571A68" w:rsidP="00301832">
            <w:pPr>
              <w:pStyle w:val="a7"/>
              <w:rPr>
                <w:lang w:val="en-US"/>
              </w:rPr>
            </w:pPr>
          </w:p>
        </w:tc>
        <w:tc>
          <w:tcPr>
            <w:tcW w:w="4007" w:type="dxa"/>
            <w:gridSpan w:val="3"/>
          </w:tcPr>
          <w:p w:rsidR="00571A68" w:rsidRPr="00C825CA" w:rsidRDefault="00571A68" w:rsidP="00301832">
            <w:pPr>
              <w:pStyle w:val="a7"/>
            </w:pPr>
            <w:r w:rsidRPr="00C825CA">
              <w:rPr>
                <w:b/>
              </w:rPr>
              <w:t>Объекты учебно-образовательного назначения</w:t>
            </w:r>
          </w:p>
        </w:tc>
        <w:tc>
          <w:tcPr>
            <w:tcW w:w="1443" w:type="dxa"/>
            <w:gridSpan w:val="2"/>
          </w:tcPr>
          <w:p w:rsidR="00571A68" w:rsidRPr="00C825CA" w:rsidRDefault="00571A68" w:rsidP="00301832">
            <w:pPr>
              <w:pStyle w:val="a7"/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2291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Реабилитационный центр школы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Default="00571A68" w:rsidP="00301832">
            <w:pPr>
              <w:pStyle w:val="a7"/>
              <w:rPr>
                <w:b/>
              </w:rPr>
            </w:pPr>
            <w:r w:rsidRPr="00835763">
              <w:rPr>
                <w:b/>
              </w:rPr>
              <w:t>Объекты здравоохранения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ФАП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Pr="00AE10F0" w:rsidRDefault="00571A68" w:rsidP="00301832">
            <w:pPr>
              <w:pStyle w:val="a7"/>
            </w:pPr>
            <w:r w:rsidRPr="00D13A32">
              <w:rPr>
                <w:b/>
              </w:rPr>
              <w:t>Объекты культурно-досугового назначения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на 250 мест с помещениями поселковой администрации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клуб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Pr="00AE10F0" w:rsidRDefault="00571A68" w:rsidP="00301832">
            <w:pPr>
              <w:pStyle w:val="a7"/>
            </w:pPr>
            <w:r w:rsidRPr="00E2728E">
              <w:rPr>
                <w:b/>
              </w:rPr>
              <w:t>Объекты спортивного назначения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EA1D1D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Pr="00AE10F0" w:rsidRDefault="00571A68" w:rsidP="00301832">
            <w:pPr>
              <w:pStyle w:val="a7"/>
            </w:pPr>
            <w:r w:rsidRPr="00E2728E">
              <w:rPr>
                <w:b/>
              </w:rPr>
              <w:t>Объекты административно-делового назначения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  <w:vAlign w:val="center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EA1D1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центр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4007" w:type="dxa"/>
            <w:gridSpan w:val="3"/>
          </w:tcPr>
          <w:p w:rsidR="00571A68" w:rsidRPr="00FB522E" w:rsidRDefault="00571A68" w:rsidP="00301832">
            <w:pPr>
              <w:pStyle w:val="a7"/>
              <w:rPr>
                <w:b/>
              </w:rPr>
            </w:pPr>
            <w:r>
              <w:rPr>
                <w:b/>
              </w:rPr>
              <w:t>Объекты торгового назначения</w:t>
            </w:r>
          </w:p>
        </w:tc>
        <w:tc>
          <w:tcPr>
            <w:tcW w:w="1443" w:type="dxa"/>
            <w:gridSpan w:val="2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Торговый центр (магазин, амбулатория, </w:t>
            </w:r>
            <w:r>
              <w:rPr>
                <w:sz w:val="20"/>
                <w:szCs w:val="20"/>
              </w:rPr>
              <w:lastRenderedPageBreak/>
              <w:t>столовая)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10149D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Pr="00AE10F0" w:rsidRDefault="00571A68" w:rsidP="00301832">
            <w:pPr>
              <w:pStyle w:val="a7"/>
            </w:pPr>
            <w:r w:rsidRPr="00D13A32">
              <w:rPr>
                <w:b/>
              </w:rPr>
              <w:t>Объекты социально-бытового назначения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Tr="00301832">
        <w:tc>
          <w:tcPr>
            <w:tcW w:w="776" w:type="dxa"/>
            <w:vMerge w:val="restart"/>
            <w:vAlign w:val="center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</w:tr>
      <w:tr w:rsidR="00571A68" w:rsidTr="00301832">
        <w:tc>
          <w:tcPr>
            <w:tcW w:w="776" w:type="dxa"/>
            <w:vMerge w:val="restart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Гостиничный комплекс</w:t>
            </w: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шт.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1A68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Pr="00EA1D1D" w:rsidRDefault="00571A68" w:rsidP="00301832">
            <w:pPr>
              <w:pStyle w:val="a7"/>
              <w:rPr>
                <w:sz w:val="20"/>
                <w:szCs w:val="20"/>
              </w:rPr>
            </w:pPr>
            <w:r w:rsidRPr="00EA1D1D"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7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71A68" w:rsidRPr="0012692D" w:rsidTr="00301832">
        <w:tc>
          <w:tcPr>
            <w:tcW w:w="776" w:type="dxa"/>
          </w:tcPr>
          <w:p w:rsidR="00571A68" w:rsidRPr="00C91E63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4007" w:type="dxa"/>
            <w:gridSpan w:val="3"/>
          </w:tcPr>
          <w:p w:rsidR="00571A68" w:rsidRPr="00AE10F0" w:rsidRDefault="00571A68" w:rsidP="00301832">
            <w:pPr>
              <w:pStyle w:val="a7"/>
            </w:pPr>
            <w:r>
              <w:rPr>
                <w:b/>
              </w:rPr>
              <w:t>Объекты культового назначения</w:t>
            </w:r>
          </w:p>
        </w:tc>
        <w:tc>
          <w:tcPr>
            <w:tcW w:w="1443" w:type="dxa"/>
            <w:gridSpan w:val="2"/>
          </w:tcPr>
          <w:p w:rsidR="00571A68" w:rsidRPr="006A1D54" w:rsidRDefault="00571A68" w:rsidP="00301832">
            <w:pPr>
              <w:pStyle w:val="a7"/>
              <w:rPr>
                <w:b/>
              </w:rPr>
            </w:pP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</w:tr>
      <w:tr w:rsidR="00571A68" w:rsidRPr="0012692D" w:rsidTr="00301832">
        <w:tc>
          <w:tcPr>
            <w:tcW w:w="776" w:type="dxa"/>
            <w:vMerge w:val="restart"/>
            <w:vAlign w:val="center"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 w:val="restart"/>
            <w:vAlign w:val="center"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Церковь</w:t>
            </w:r>
          </w:p>
        </w:tc>
        <w:tc>
          <w:tcPr>
            <w:tcW w:w="3126" w:type="dxa"/>
            <w:gridSpan w:val="3"/>
          </w:tcPr>
          <w:p w:rsidR="00571A68" w:rsidRPr="000C081B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Pr="000C081B">
              <w:rPr>
                <w:sz w:val="20"/>
                <w:szCs w:val="20"/>
              </w:rPr>
              <w:t>т.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1A68" w:rsidRPr="0012692D" w:rsidTr="00301832">
        <w:tc>
          <w:tcPr>
            <w:tcW w:w="776" w:type="dxa"/>
            <w:vMerge/>
          </w:tcPr>
          <w:p w:rsidR="00571A68" w:rsidRPr="0010149D" w:rsidRDefault="00571A68" w:rsidP="00301832">
            <w:pPr>
              <w:pStyle w:val="a7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324" w:type="dxa"/>
            <w:gridSpan w:val="2"/>
            <w:vMerge/>
          </w:tcPr>
          <w:p w:rsidR="00571A68" w:rsidRPr="0010149D" w:rsidRDefault="00571A68" w:rsidP="00301832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3126" w:type="dxa"/>
            <w:gridSpan w:val="3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м. общей площади</w:t>
            </w:r>
          </w:p>
        </w:tc>
        <w:tc>
          <w:tcPr>
            <w:tcW w:w="1788" w:type="dxa"/>
          </w:tcPr>
          <w:p w:rsidR="00571A68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57" w:type="dxa"/>
          </w:tcPr>
          <w:p w:rsidR="00571A68" w:rsidRPr="0012692D" w:rsidRDefault="00571A68" w:rsidP="0030183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</w:tr>
    </w:tbl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p w:rsidR="00571A68" w:rsidRDefault="00571A68"/>
    <w:sectPr w:rsidR="0057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3" w:rsidRDefault="00EF5D33" w:rsidP="00571A68">
      <w:pPr>
        <w:spacing w:after="0" w:line="240" w:lineRule="auto"/>
      </w:pPr>
      <w:r>
        <w:separator/>
      </w:r>
    </w:p>
  </w:endnote>
  <w:endnote w:type="continuationSeparator" w:id="0">
    <w:p w:rsidR="00EF5D33" w:rsidRDefault="00EF5D33" w:rsidP="0057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3" w:rsidRDefault="00EF5D33" w:rsidP="00571A68">
      <w:pPr>
        <w:spacing w:after="0" w:line="240" w:lineRule="auto"/>
      </w:pPr>
      <w:r>
        <w:separator/>
      </w:r>
    </w:p>
  </w:footnote>
  <w:footnote w:type="continuationSeparator" w:id="0">
    <w:p w:rsidR="00EF5D33" w:rsidRDefault="00EF5D33" w:rsidP="00571A68">
      <w:pPr>
        <w:spacing w:after="0" w:line="240" w:lineRule="auto"/>
      </w:pPr>
      <w:r>
        <w:continuationSeparator/>
      </w:r>
    </w:p>
  </w:footnote>
  <w:footnote w:id="1">
    <w:p w:rsidR="00571A68" w:rsidRDefault="00571A68" w:rsidP="00571A68">
      <w:pPr>
        <w:pStyle w:val="a3"/>
      </w:pPr>
      <w:r>
        <w:rPr>
          <w:rStyle w:val="a5"/>
        </w:rPr>
        <w:footnoteRef/>
      </w:r>
      <w:r>
        <w:t xml:space="preserve"> Мероприятия в каждой отрасли перечисляются по последовательности их выполнения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68"/>
    <w:rsid w:val="0007572A"/>
    <w:rsid w:val="00571A68"/>
    <w:rsid w:val="005E3576"/>
    <w:rsid w:val="00EF5AA9"/>
    <w:rsid w:val="00E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71A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7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">
    <w:name w:val="S_Обычный Знак Знак Знак"/>
    <w:basedOn w:val="a0"/>
    <w:link w:val="S0"/>
    <w:locked/>
    <w:rsid w:val="00571A68"/>
    <w:rPr>
      <w:sz w:val="24"/>
      <w:szCs w:val="24"/>
    </w:rPr>
  </w:style>
  <w:style w:type="paragraph" w:customStyle="1" w:styleId="S0">
    <w:name w:val="S_Обычный Знак Знак"/>
    <w:basedOn w:val="a"/>
    <w:link w:val="S"/>
    <w:locked/>
    <w:rsid w:val="00571A68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footnote reference"/>
    <w:basedOn w:val="a0"/>
    <w:semiHidden/>
    <w:unhideWhenUsed/>
    <w:rsid w:val="00571A68"/>
    <w:rPr>
      <w:vertAlign w:val="superscript"/>
    </w:rPr>
  </w:style>
  <w:style w:type="table" w:styleId="a6">
    <w:name w:val="Table Grid"/>
    <w:basedOn w:val="a1"/>
    <w:rsid w:val="0057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в таблице"/>
    <w:basedOn w:val="a"/>
    <w:rsid w:val="00571A68"/>
    <w:p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71A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71A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">
    <w:name w:val="S_Обычный Знак Знак Знак"/>
    <w:basedOn w:val="a0"/>
    <w:link w:val="S0"/>
    <w:locked/>
    <w:rsid w:val="00571A68"/>
    <w:rPr>
      <w:sz w:val="24"/>
      <w:szCs w:val="24"/>
    </w:rPr>
  </w:style>
  <w:style w:type="paragraph" w:customStyle="1" w:styleId="S0">
    <w:name w:val="S_Обычный Знак Знак"/>
    <w:basedOn w:val="a"/>
    <w:link w:val="S"/>
    <w:locked/>
    <w:rsid w:val="00571A68"/>
    <w:pPr>
      <w:spacing w:after="0" w:line="360" w:lineRule="auto"/>
      <w:ind w:firstLine="709"/>
      <w:jc w:val="both"/>
    </w:pPr>
    <w:rPr>
      <w:sz w:val="24"/>
      <w:szCs w:val="24"/>
    </w:rPr>
  </w:style>
  <w:style w:type="character" w:styleId="a5">
    <w:name w:val="footnote reference"/>
    <w:basedOn w:val="a0"/>
    <w:semiHidden/>
    <w:unhideWhenUsed/>
    <w:rsid w:val="00571A68"/>
    <w:rPr>
      <w:vertAlign w:val="superscript"/>
    </w:rPr>
  </w:style>
  <w:style w:type="table" w:styleId="a6">
    <w:name w:val="Table Grid"/>
    <w:basedOn w:val="a1"/>
    <w:rsid w:val="00571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в таблице"/>
    <w:basedOn w:val="a"/>
    <w:rsid w:val="00571A68"/>
    <w:pPr>
      <w:spacing w:after="0" w:line="360" w:lineRule="auto"/>
      <w:jc w:val="both"/>
    </w:pPr>
    <w:rPr>
      <w:rFonts w:ascii="Times New Roman" w:eastAsia="Times New Roman" w:hAnsi="Times New Roman" w:cs="Times New Roman"/>
      <w:spacing w:val="-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4180</Words>
  <Characters>23830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Анастасия Александровна</dc:creator>
  <cp:lastModifiedBy>Зубарева Анастасия Александровна</cp:lastModifiedBy>
  <cp:revision>2</cp:revision>
  <dcterms:created xsi:type="dcterms:W3CDTF">2014-11-05T09:55:00Z</dcterms:created>
  <dcterms:modified xsi:type="dcterms:W3CDTF">2014-11-07T04:52:00Z</dcterms:modified>
</cp:coreProperties>
</file>